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6"/>
        </w:rPr>
        <w:t>STAGE / EDUCATION</w:t>
      </w:r>
    </w:p>
    <w:p>
      <w:pPr>
        <w:jc w:val="center"/>
      </w:pPr>
      <w:r>
        <w:rPr>
          <w:b/>
          <w:color w:val="B28A45"/>
          <w:sz w:val="42"/>
        </w:rPr>
        <w:t>BEHAVIOUR, ANTI-BULLYING</w:t>
        <w:br/>
        <w:t>&amp; POSITIVE RELATIONSHIPS POLICY</w:t>
      </w:r>
    </w:p>
    <w:p>
      <w:pPr>
        <w:jc w:val="center"/>
      </w:pPr>
      <w:r>
        <w:rPr>
          <w:b/>
          <w:sz w:val="24"/>
        </w:rPr>
        <w:t>2026-27</w:t>
      </w:r>
    </w:p>
    <w:tbl>
      <w:tblPr>
        <w:tblW w:type="auto" w:w="0"/>
        <w:tblLook w:firstColumn="1" w:firstRow="1" w:lastColumn="0" w:lastRow="0" w:noHBand="0" w:noVBand="1" w:val="04A0"/>
      </w:tblPr>
      <w:tblGrid>
        <w:gridCol w:w="10454"/>
      </w:tblGrid>
      <w:tr>
        <w:tc>
          <w:tcPr>
            <w:tcW w:type="dxa" w:w="10454"/>
            <w:shd w:fill="F4EFE6"/>
            <w:vAlign w:val="center"/>
          </w:tcPr>
          <w:p>
            <w:pPr>
              <w:jc w:val="center"/>
            </w:pPr>
            <w:r/>
            <w:r>
              <w:rPr>
                <w:rFonts w:ascii="Aptos" w:hAnsi="Aptos"/>
                <w:b/>
                <w:color w:val="171717"/>
                <w:sz w:val="18"/>
              </w:rPr>
              <w:t>Confident • Creative • Compassionate • Safe • Respectful</w:t>
            </w:r>
          </w:p>
        </w:tc>
      </w:tr>
    </w:tbl>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5"/>
              </w:rPr>
              <w:t>DOCUMENT CONTROL</w:t>
            </w:r>
          </w:p>
        </w:tc>
        <w:tc>
          <w:tcPr>
            <w:tcW w:type="dxa" w:w="5227"/>
            <w:shd w:fill="171717"/>
            <w:vAlign w:val="center"/>
          </w:tcPr>
          <w:p>
            <w:r/>
            <w:r>
              <w:rPr>
                <w:rFonts w:ascii="Aptos" w:hAnsi="Aptos"/>
                <w:b/>
                <w:color w:val="FFFFFF"/>
                <w:sz w:val="15"/>
              </w:rPr>
              <w:t>DETAIL</w:t>
            </w:r>
          </w:p>
        </w:tc>
      </w:tr>
      <w:tr>
        <w:tc>
          <w:tcPr>
            <w:tcW w:type="dxa" w:w="5227"/>
            <w:vAlign w:val="center"/>
          </w:tcPr>
          <w:p>
            <w:r/>
            <w:r>
              <w:rPr>
                <w:rFonts w:ascii="Aptos" w:hAnsi="Aptos"/>
                <w:b w:val="0"/>
                <w:color w:val="171717"/>
                <w:sz w:val="15"/>
              </w:rPr>
              <w:t>Setting</w:t>
            </w:r>
          </w:p>
        </w:tc>
        <w:tc>
          <w:tcPr>
            <w:tcW w:type="dxa" w:w="5227"/>
            <w:vAlign w:val="center"/>
          </w:tcPr>
          <w:p>
            <w:r/>
            <w:r>
              <w:rPr>
                <w:rFonts w:ascii="Aptos" w:hAnsi="Aptos"/>
                <w:b w:val="0"/>
                <w:color w:val="171717"/>
                <w:sz w:val="15"/>
              </w:rPr>
              <w:t>Stageworks Education</w:t>
            </w:r>
          </w:p>
        </w:tc>
      </w:tr>
      <w:tr>
        <w:tc>
          <w:tcPr>
            <w:tcW w:type="dxa" w:w="5227"/>
            <w:vAlign w:val="center"/>
            <w:shd w:fill="F7F7F7"/>
          </w:tcPr>
          <w:p>
            <w:r/>
            <w:r>
              <w:rPr>
                <w:rFonts w:ascii="Aptos" w:hAnsi="Aptos"/>
                <w:b w:val="0"/>
                <w:color w:val="171717"/>
                <w:sz w:val="15"/>
              </w:rPr>
              <w:t>Age range</w:t>
            </w:r>
          </w:p>
        </w:tc>
        <w:tc>
          <w:tcPr>
            <w:tcW w:type="dxa" w:w="5227"/>
            <w:vAlign w:val="center"/>
            <w:shd w:fill="F7F7F7"/>
          </w:tcPr>
          <w:p>
            <w:r/>
            <w:r>
              <w:rPr>
                <w:rFonts w:ascii="Aptos" w:hAnsi="Aptos"/>
                <w:b w:val="0"/>
                <w:color w:val="171717"/>
                <w:sz w:val="15"/>
              </w:rPr>
              <w:t>KS1-KS3</w:t>
            </w:r>
          </w:p>
        </w:tc>
      </w:tr>
      <w:tr>
        <w:tc>
          <w:tcPr>
            <w:tcW w:type="dxa" w:w="5227"/>
            <w:vAlign w:val="center"/>
          </w:tcPr>
          <w:p>
            <w:r/>
            <w:r>
              <w:rPr>
                <w:rFonts w:ascii="Aptos" w:hAnsi="Aptos"/>
                <w:b w:val="0"/>
                <w:color w:val="171717"/>
                <w:sz w:val="15"/>
              </w:rPr>
              <w:t>Policy owner</w:t>
            </w:r>
          </w:p>
        </w:tc>
        <w:tc>
          <w:tcPr>
            <w:tcW w:type="dxa" w:w="5227"/>
            <w:vAlign w:val="center"/>
          </w:tcPr>
          <w:p>
            <w:r/>
            <w:r>
              <w:rPr>
                <w:rFonts w:ascii="Aptos" w:hAnsi="Aptos"/>
                <w:b w:val="0"/>
                <w:color w:val="171717"/>
                <w:sz w:val="15"/>
              </w:rPr>
              <w:t>Founder / Principal</w:t>
            </w:r>
          </w:p>
        </w:tc>
      </w:tr>
      <w:tr>
        <w:tc>
          <w:tcPr>
            <w:tcW w:type="dxa" w:w="5227"/>
            <w:vAlign w:val="center"/>
            <w:shd w:fill="F7F7F7"/>
          </w:tcPr>
          <w:p>
            <w:r/>
            <w:r>
              <w:rPr>
                <w:rFonts w:ascii="Aptos" w:hAnsi="Aptos"/>
                <w:b w:val="0"/>
                <w:color w:val="171717"/>
                <w:sz w:val="15"/>
              </w:rPr>
              <w:t>Behaviour / Pastoral Lead</w:t>
            </w:r>
          </w:p>
        </w:tc>
        <w:tc>
          <w:tcPr>
            <w:tcW w:type="dxa" w:w="5227"/>
            <w:vAlign w:val="center"/>
            <w:shd w:fill="F7F7F7"/>
          </w:tcPr>
          <w:p>
            <w:r/>
            <w:r>
              <w:rPr>
                <w:rFonts w:ascii="Aptos" w:hAnsi="Aptos"/>
                <w:b w:val="0"/>
                <w:color w:val="171717"/>
                <w:sz w:val="15"/>
              </w:rPr>
              <w:t>To be formally designated</w:t>
            </w:r>
          </w:p>
        </w:tc>
      </w:tr>
      <w:tr>
        <w:tc>
          <w:tcPr>
            <w:tcW w:type="dxa" w:w="5227"/>
            <w:vAlign w:val="center"/>
          </w:tcPr>
          <w:p>
            <w:r/>
            <w:r>
              <w:rPr>
                <w:rFonts w:ascii="Aptos" w:hAnsi="Aptos"/>
                <w:b w:val="0"/>
                <w:color w:val="171717"/>
                <w:sz w:val="15"/>
              </w:rPr>
              <w:t>DSL / Deputy DSL</w:t>
            </w:r>
          </w:p>
        </w:tc>
        <w:tc>
          <w:tcPr>
            <w:tcW w:type="dxa" w:w="5227"/>
            <w:vAlign w:val="center"/>
          </w:tcPr>
          <w:p>
            <w:r/>
            <w:r>
              <w:rPr>
                <w:rFonts w:ascii="Aptos" w:hAnsi="Aptos"/>
                <w:b w:val="0"/>
                <w:color w:val="171717"/>
                <w:sz w:val="15"/>
              </w:rPr>
              <w:t>See current Safeguarding file</w:t>
            </w:r>
          </w:p>
        </w:tc>
      </w:tr>
      <w:tr>
        <w:tc>
          <w:tcPr>
            <w:tcW w:type="dxa" w:w="5227"/>
            <w:vAlign w:val="center"/>
            <w:shd w:fill="F7F7F7"/>
          </w:tcPr>
          <w:p>
            <w:r/>
            <w:r>
              <w:rPr>
                <w:rFonts w:ascii="Aptos" w:hAnsi="Aptos"/>
                <w:b w:val="0"/>
                <w:color w:val="171717"/>
                <w:sz w:val="15"/>
              </w:rPr>
              <w:t>Related policies</w:t>
            </w:r>
          </w:p>
        </w:tc>
        <w:tc>
          <w:tcPr>
            <w:tcW w:type="dxa" w:w="5227"/>
            <w:vAlign w:val="center"/>
            <w:shd w:fill="F7F7F7"/>
          </w:tcPr>
          <w:p>
            <w:r/>
            <w:r>
              <w:rPr>
                <w:rFonts w:ascii="Aptos" w:hAnsi="Aptos"/>
                <w:b w:val="0"/>
                <w:color w:val="171717"/>
                <w:sz w:val="15"/>
              </w:rPr>
              <w:t>Safeguarding; Attendance; SEND &amp; Inclusion; First Aid &amp; Medical; Health &amp; Safety; Staff Code of Conduct; Complaints</w:t>
            </w:r>
          </w:p>
        </w:tc>
      </w:tr>
      <w:tr>
        <w:tc>
          <w:tcPr>
            <w:tcW w:type="dxa" w:w="5227"/>
            <w:vAlign w:val="center"/>
          </w:tcPr>
          <w:p>
            <w:r/>
            <w:r>
              <w:rPr>
                <w:rFonts w:ascii="Aptos" w:hAnsi="Aptos"/>
                <w:b w:val="0"/>
                <w:color w:val="171717"/>
                <w:sz w:val="15"/>
              </w:rPr>
              <w:t>Review</w:t>
            </w:r>
          </w:p>
        </w:tc>
        <w:tc>
          <w:tcPr>
            <w:tcW w:type="dxa" w:w="5227"/>
            <w:vAlign w:val="center"/>
          </w:tcPr>
          <w:p>
            <w:r/>
            <w:r>
              <w:rPr>
                <w:rFonts w:ascii="Aptos" w:hAnsi="Aptos"/>
                <w:b w:val="0"/>
                <w:color w:val="171717"/>
                <w:sz w:val="15"/>
              </w:rPr>
              <w:t>At least annually and after serious behaviour/bullying incidents, safeguarding learning or material change</w:t>
            </w:r>
          </w:p>
        </w:tc>
      </w:tr>
      <w:tr>
        <w:tc>
          <w:tcPr>
            <w:tcW w:type="dxa" w:w="5227"/>
            <w:vAlign w:val="center"/>
            <w:shd w:fill="F7F7F7"/>
          </w:tcPr>
          <w:p>
            <w:r/>
            <w:r>
              <w:rPr>
                <w:rFonts w:ascii="Aptos" w:hAnsi="Aptos"/>
                <w:b w:val="0"/>
                <w:color w:val="171717"/>
                <w:sz w:val="15"/>
              </w:rPr>
              <w:t>Guidance benchmark</w:t>
            </w:r>
          </w:p>
        </w:tc>
        <w:tc>
          <w:tcPr>
            <w:tcW w:type="dxa" w:w="5227"/>
            <w:vAlign w:val="center"/>
            <w:shd w:fill="F7F7F7"/>
          </w:tcPr>
          <w:p>
            <w:r/>
            <w:r>
              <w:rPr>
                <w:rFonts w:ascii="Aptos" w:hAnsi="Aptos"/>
                <w:b w:val="0"/>
                <w:color w:val="171717"/>
                <w:sz w:val="15"/>
              </w:rPr>
              <w:t>DfE Behaviour in Schools; Preventing and Tackling Bullying (updated July 2026); Restrictive Interventions guidance effective April 2026</w:t>
            </w:r>
          </w:p>
        </w:tc>
      </w:tr>
    </w:tbl>
    <w:p/>
    <w:p>
      <w:r>
        <w:t>Stageworks Education adopts current DfE school guidance as a strong benchmark for its specialist education provision. Where a statutory power or duty applies only to a particular category of school, this policy does not claim that Stageworks automatically holds that power.</w:t>
      </w:r>
    </w:p>
    <w:p>
      <w:r>
        <w:br w:type="page"/>
      </w:r>
    </w:p>
    <w:p>
      <w:pPr>
        <w:pStyle w:val="Heading1"/>
      </w:pPr>
      <w:r>
        <w:t>1. Purpose &amp; Ethos</w:t>
      </w:r>
    </w:p>
    <w:p>
      <w:r>
        <w:t>Stageworks Education aims to develop confident, creative and compassionate young people through outstanding performing-arts education. Behaviour is approached as part of education, safeguarding and personal development: pupils should know what is expected, experience consistent boundaries, receive support to repair mistakes and be protected from bullying, discrimination, harassment and unsafe conduct.</w:t>
      </w:r>
    </w:p>
    <w:p>
      <w:pPr>
        <w:pStyle w:val="Heading2"/>
      </w:pPr>
      <w:r>
        <w:t>Stageworks expectations</w:t>
      </w:r>
    </w:p>
    <w:p>
      <w:pPr>
        <w:spacing w:after="40"/>
      </w:pPr>
      <w:r>
        <w:t xml:space="preserve">• </w:t>
      </w:r>
      <w:r>
        <w:t>Be kind, courteous and respectful to pupils, staff, visitors and the premises.</w:t>
      </w:r>
    </w:p>
    <w:p>
      <w:pPr>
        <w:spacing w:after="40"/>
      </w:pPr>
      <w:r>
        <w:t xml:space="preserve">• </w:t>
      </w:r>
      <w:r>
        <w:t>Listen when others are speaking and follow reasonable staff instructions.</w:t>
      </w:r>
    </w:p>
    <w:p>
      <w:pPr>
        <w:spacing w:after="40"/>
      </w:pPr>
      <w:r>
        <w:t xml:space="preserve">• </w:t>
      </w:r>
      <w:r>
        <w:t>Participate positively and allow others to learn.</w:t>
      </w:r>
    </w:p>
    <w:p>
      <w:pPr>
        <w:spacing w:after="40"/>
      </w:pPr>
      <w:r>
        <w:t xml:space="preserve">• </w:t>
      </w:r>
      <w:r>
        <w:t>Use safe behaviour in dance, acro, aerial, conditioning and all practical work.</w:t>
      </w:r>
    </w:p>
    <w:p>
      <w:pPr>
        <w:spacing w:after="40"/>
      </w:pPr>
      <w:r>
        <w:t xml:space="preserve">• </w:t>
      </w:r>
      <w:r>
        <w:t>Respect personal space, consent, bodies, belongings and differences.</w:t>
      </w:r>
    </w:p>
    <w:p>
      <w:pPr>
        <w:spacing w:after="40"/>
      </w:pPr>
      <w:r>
        <w:t xml:space="preserve">• </w:t>
      </w:r>
      <w:r>
        <w:t>Use appropriate language and communication, including online.</w:t>
      </w:r>
    </w:p>
    <w:p>
      <w:pPr>
        <w:spacing w:after="40"/>
      </w:pPr>
      <w:r>
        <w:t xml:space="preserve">• </w:t>
      </w:r>
      <w:r>
        <w:t>Tell a trusted adult if something feels unsafe, unkind or worrying.</w:t>
      </w:r>
    </w:p>
    <w:p>
      <w:pPr>
        <w:spacing w:after="40"/>
      </w:pPr>
      <w:r>
        <w:t xml:space="preserve">• </w:t>
      </w:r>
      <w:r>
        <w:t>Take responsibility, repair harm and try again after mistakes.</w:t>
      </w:r>
    </w:p>
    <w:p>
      <w:pPr>
        <w:pStyle w:val="Heading1"/>
      </w:pPr>
      <w:r>
        <w:t>2. Positive Behaviour Culture</w:t>
      </w:r>
    </w:p>
    <w:p>
      <w:pPr>
        <w:spacing w:after="40"/>
      </w:pPr>
      <w:r>
        <w:t xml:space="preserve">• </w:t>
      </w:r>
      <w:r>
        <w:t>Staff model calm, respectful and professional behaviour.</w:t>
      </w:r>
    </w:p>
    <w:p>
      <w:pPr>
        <w:spacing w:after="40"/>
      </w:pPr>
      <w:r>
        <w:t xml:space="preserve">• </w:t>
      </w:r>
      <w:r>
        <w:t>Expectations are taught explicitly, revisited and adapted to age/development.</w:t>
      </w:r>
    </w:p>
    <w:p>
      <w:pPr>
        <w:spacing w:after="40"/>
      </w:pPr>
      <w:r>
        <w:t xml:space="preserve">• </w:t>
      </w:r>
      <w:r>
        <w:t>Positive effort, progress, teamwork, courage, kindness and self-discipline are recognised.</w:t>
      </w:r>
    </w:p>
    <w:p>
      <w:pPr>
        <w:spacing w:after="40"/>
      </w:pPr>
      <w:r>
        <w:t xml:space="preserve">• </w:t>
      </w:r>
      <w:r>
        <w:t>Relationships are warm but professionally boundaried.</w:t>
      </w:r>
    </w:p>
    <w:p>
      <w:pPr>
        <w:spacing w:after="40"/>
      </w:pPr>
      <w:r>
        <w:t xml:space="preserve">• </w:t>
      </w:r>
      <w:r>
        <w:t>Staff use predictable routines and clear instructions.</w:t>
      </w:r>
    </w:p>
    <w:p>
      <w:pPr>
        <w:spacing w:after="40"/>
      </w:pPr>
      <w:r>
        <w:t xml:space="preserve">• </w:t>
      </w:r>
      <w:r>
        <w:t>Reasonable adjustments are considered for SEND, disability, medical needs, communication needs and other relevant circumstances.</w:t>
      </w:r>
    </w:p>
    <w:p>
      <w:pPr>
        <w:spacing w:after="40"/>
      </w:pPr>
      <w:r>
        <w:t xml:space="preserve">• </w:t>
      </w:r>
      <w:r>
        <w:t>Consequences are proportionate, explained and focused on safety, learning and repair rather than humiliation.</w:t>
      </w:r>
    </w:p>
    <w:p>
      <w:pPr>
        <w:spacing w:after="40"/>
      </w:pPr>
      <w:r>
        <w:t xml:space="preserve">• </w:t>
      </w:r>
      <w:r>
        <w:t>Repeated or serious behaviour is analysed for underlying need and safeguarding context.</w:t>
      </w:r>
    </w:p>
    <w:p>
      <w:pPr>
        <w:pStyle w:val="Heading1"/>
      </w:pPr>
      <w:r>
        <w:t>3. Roles &amp; Responsibilities</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5"/>
              </w:rPr>
              <w:t>ROLE</w:t>
            </w:r>
          </w:p>
        </w:tc>
        <w:tc>
          <w:tcPr>
            <w:tcW w:type="dxa" w:w="5227"/>
            <w:shd w:fill="171717"/>
            <w:vAlign w:val="center"/>
          </w:tcPr>
          <w:p>
            <w:r/>
            <w:r>
              <w:rPr>
                <w:rFonts w:ascii="Aptos" w:hAnsi="Aptos"/>
                <w:b/>
                <w:color w:val="FFFFFF"/>
                <w:sz w:val="15"/>
              </w:rPr>
              <w:t>RESPONSIBILITY</w:t>
            </w:r>
          </w:p>
        </w:tc>
      </w:tr>
      <w:tr>
        <w:tc>
          <w:tcPr>
            <w:tcW w:type="dxa" w:w="5227"/>
            <w:vAlign w:val="center"/>
          </w:tcPr>
          <w:p>
            <w:r/>
            <w:r>
              <w:rPr>
                <w:rFonts w:ascii="Aptos" w:hAnsi="Aptos"/>
                <w:b w:val="0"/>
                <w:color w:val="171717"/>
                <w:sz w:val="15"/>
              </w:rPr>
              <w:t>Founder / Principal</w:t>
            </w:r>
          </w:p>
        </w:tc>
        <w:tc>
          <w:tcPr>
            <w:tcW w:type="dxa" w:w="5227"/>
            <w:vAlign w:val="center"/>
          </w:tcPr>
          <w:p>
            <w:r/>
            <w:r>
              <w:rPr>
                <w:rFonts w:ascii="Aptos" w:hAnsi="Aptos"/>
                <w:b w:val="0"/>
                <w:color w:val="171717"/>
                <w:sz w:val="15"/>
              </w:rPr>
              <w:t>Set culture; ensure policy, staffing, training and consistent response; make decisions about serious/repeated breaches and continued placement.</w:t>
            </w:r>
          </w:p>
        </w:tc>
      </w:tr>
      <w:tr>
        <w:tc>
          <w:tcPr>
            <w:tcW w:type="dxa" w:w="5227"/>
            <w:vAlign w:val="center"/>
            <w:shd w:fill="F7F7F7"/>
          </w:tcPr>
          <w:p>
            <w:r/>
            <w:r>
              <w:rPr>
                <w:rFonts w:ascii="Aptos" w:hAnsi="Aptos"/>
                <w:b w:val="0"/>
                <w:color w:val="171717"/>
                <w:sz w:val="15"/>
              </w:rPr>
              <w:t>Behaviour / Pastoral Lead</w:t>
            </w:r>
          </w:p>
        </w:tc>
        <w:tc>
          <w:tcPr>
            <w:tcW w:type="dxa" w:w="5227"/>
            <w:vAlign w:val="center"/>
            <w:shd w:fill="F7F7F7"/>
          </w:tcPr>
          <w:p>
            <w:r/>
            <w:r>
              <w:rPr>
                <w:rFonts w:ascii="Aptos" w:hAnsi="Aptos"/>
                <w:b w:val="0"/>
                <w:color w:val="171717"/>
                <w:sz w:val="15"/>
              </w:rPr>
              <w:t>Support staff, track patterns, coordinate pupil/parent plans and restorative work.</w:t>
            </w:r>
          </w:p>
        </w:tc>
      </w:tr>
      <w:tr>
        <w:tc>
          <w:tcPr>
            <w:tcW w:type="dxa" w:w="5227"/>
            <w:vAlign w:val="center"/>
          </w:tcPr>
          <w:p>
            <w:r/>
            <w:r>
              <w:rPr>
                <w:rFonts w:ascii="Aptos" w:hAnsi="Aptos"/>
                <w:b w:val="0"/>
                <w:color w:val="171717"/>
                <w:sz w:val="15"/>
              </w:rPr>
              <w:t>DSL / Deputy DSL</w:t>
            </w:r>
          </w:p>
        </w:tc>
        <w:tc>
          <w:tcPr>
            <w:tcW w:type="dxa" w:w="5227"/>
            <w:vAlign w:val="center"/>
          </w:tcPr>
          <w:p>
            <w:r/>
            <w:r>
              <w:rPr>
                <w:rFonts w:ascii="Aptos" w:hAnsi="Aptos"/>
                <w:b w:val="0"/>
                <w:color w:val="171717"/>
                <w:sz w:val="15"/>
              </w:rPr>
              <w:t>Assess behaviour that may indicate abuse, exploitation, harmful sexual behaviour, bullying, discrimination or other safeguarding risk.</w:t>
            </w:r>
          </w:p>
        </w:tc>
      </w:tr>
      <w:tr>
        <w:tc>
          <w:tcPr>
            <w:tcW w:type="dxa" w:w="5227"/>
            <w:vAlign w:val="center"/>
            <w:shd w:fill="F7F7F7"/>
          </w:tcPr>
          <w:p>
            <w:r/>
            <w:r>
              <w:rPr>
                <w:rFonts w:ascii="Aptos" w:hAnsi="Aptos"/>
                <w:b w:val="0"/>
                <w:color w:val="171717"/>
                <w:sz w:val="15"/>
              </w:rPr>
              <w:t>Staff / teachers</w:t>
            </w:r>
          </w:p>
        </w:tc>
        <w:tc>
          <w:tcPr>
            <w:tcW w:type="dxa" w:w="5227"/>
            <w:vAlign w:val="center"/>
            <w:shd w:fill="F7F7F7"/>
          </w:tcPr>
          <w:p>
            <w:r/>
            <w:r>
              <w:rPr>
                <w:rFonts w:ascii="Aptos" w:hAnsi="Aptos"/>
                <w:b w:val="0"/>
                <w:color w:val="171717"/>
                <w:sz w:val="15"/>
              </w:rPr>
              <w:t>Teach expectations; supervise safely; respond consistently; record significant incidents; make reasonable adjustments.</w:t>
            </w:r>
          </w:p>
        </w:tc>
      </w:tr>
      <w:tr>
        <w:tc>
          <w:tcPr>
            <w:tcW w:type="dxa" w:w="5227"/>
            <w:vAlign w:val="center"/>
          </w:tcPr>
          <w:p>
            <w:r/>
            <w:r>
              <w:rPr>
                <w:rFonts w:ascii="Aptos" w:hAnsi="Aptos"/>
                <w:b w:val="0"/>
                <w:color w:val="171717"/>
                <w:sz w:val="15"/>
              </w:rPr>
              <w:t>Parents / carers</w:t>
            </w:r>
          </w:p>
        </w:tc>
        <w:tc>
          <w:tcPr>
            <w:tcW w:type="dxa" w:w="5227"/>
            <w:vAlign w:val="center"/>
          </w:tcPr>
          <w:p>
            <w:r/>
            <w:r>
              <w:rPr>
                <w:rFonts w:ascii="Aptos" w:hAnsi="Aptos"/>
                <w:b w:val="0"/>
                <w:color w:val="171717"/>
                <w:sz w:val="15"/>
              </w:rPr>
              <w:t>Support expectations, communicate relevant needs, work respectfully with Stageworks and reinforce safe behaviour.</w:t>
            </w:r>
          </w:p>
        </w:tc>
      </w:tr>
      <w:tr>
        <w:tc>
          <w:tcPr>
            <w:tcW w:type="dxa" w:w="5227"/>
            <w:vAlign w:val="center"/>
            <w:shd w:fill="F7F7F7"/>
          </w:tcPr>
          <w:p>
            <w:r/>
            <w:r>
              <w:rPr>
                <w:rFonts w:ascii="Aptos" w:hAnsi="Aptos"/>
                <w:b w:val="0"/>
                <w:color w:val="171717"/>
                <w:sz w:val="15"/>
              </w:rPr>
              <w:t>Pupils</w:t>
            </w:r>
          </w:p>
        </w:tc>
        <w:tc>
          <w:tcPr>
            <w:tcW w:type="dxa" w:w="5227"/>
            <w:vAlign w:val="center"/>
            <w:shd w:fill="F7F7F7"/>
          </w:tcPr>
          <w:p>
            <w:r/>
            <w:r>
              <w:rPr>
                <w:rFonts w:ascii="Aptos" w:hAnsi="Aptos"/>
                <w:b w:val="0"/>
                <w:color w:val="171717"/>
                <w:sz w:val="15"/>
              </w:rPr>
              <w:t>Follow expectations, respect others, report concerns and engage with repair/support.</w:t>
            </w:r>
          </w:p>
        </w:tc>
      </w:tr>
    </w:tbl>
    <w:p/>
    <w:p>
      <w:r>
        <w:br w:type="page"/>
      </w:r>
    </w:p>
    <w:p>
      <w:pPr>
        <w:pStyle w:val="Heading1"/>
      </w:pPr>
      <w:r>
        <w:t>4. Recognition &amp; Encouragement</w:t>
      </w:r>
    </w:p>
    <w:p>
      <w:r>
        <w:t>Stageworks prioritises positive recognition rather than relying only on sanctions.</w:t>
      </w:r>
    </w:p>
    <w:p>
      <w:pPr>
        <w:spacing w:after="40"/>
      </w:pPr>
      <w:r>
        <w:t xml:space="preserve">• </w:t>
      </w:r>
      <w:r>
        <w:t>Specific verbal praise linked to effort, conduct, teamwork or progress.</w:t>
      </w:r>
    </w:p>
    <w:p>
      <w:pPr>
        <w:spacing w:after="40"/>
      </w:pPr>
      <w:r>
        <w:t xml:space="preserve">• </w:t>
      </w:r>
      <w:r>
        <w:t>Positive feedback to parents/carers.</w:t>
      </w:r>
    </w:p>
    <w:p>
      <w:pPr>
        <w:spacing w:after="40"/>
      </w:pPr>
      <w:r>
        <w:t xml:space="preserve">• </w:t>
      </w:r>
      <w:r>
        <w:t>Recognition within class or Stageworks celebration systems.</w:t>
      </w:r>
    </w:p>
    <w:p>
      <w:pPr>
        <w:spacing w:after="40"/>
      </w:pPr>
      <w:r>
        <w:t xml:space="preserve">• </w:t>
      </w:r>
      <w:r>
        <w:t>Leadership/responsibility opportunities where appropriate.</w:t>
      </w:r>
    </w:p>
    <w:p>
      <w:pPr>
        <w:spacing w:after="40"/>
      </w:pPr>
      <w:r>
        <w:t xml:space="preserve">• </w:t>
      </w:r>
      <w:r>
        <w:t>Restorative acknowledgement when a pupil successfully repairs harm or improves behaviour.</w:t>
      </w:r>
    </w:p>
    <w:p>
      <w:pPr>
        <w:pStyle w:val="Heading1"/>
      </w:pPr>
      <w:r>
        <w:t>5. Responding to Behaviour</w:t>
      </w:r>
    </w:p>
    <w:p>
      <w:r>
        <w:t>Staff use professional judgement according to age, risk, seriousness, SEND/medical factors, previous incidents and safeguarding context.</w:t>
      </w:r>
    </w:p>
    <w:tbl>
      <w:tblPr>
        <w:tblStyle w:val="TableGrid"/>
        <w:tblW w:type="auto" w:w="0"/>
        <w:jc w:val="center"/>
        <w:tblLook w:firstColumn="1" w:firstRow="1" w:lastColumn="0" w:lastRow="0" w:noHBand="0" w:noVBand="1" w:val="04A0"/>
      </w:tblPr>
      <w:tblGrid>
        <w:gridCol w:w="3485"/>
        <w:gridCol w:w="3485"/>
        <w:gridCol w:w="3485"/>
      </w:tblGrid>
      <w:tr>
        <w:tc>
          <w:tcPr>
            <w:tcW w:type="dxa" w:w="3485"/>
            <w:shd w:fill="171717"/>
            <w:vAlign w:val="center"/>
          </w:tcPr>
          <w:p>
            <w:r/>
            <w:r>
              <w:rPr>
                <w:rFonts w:ascii="Aptos" w:hAnsi="Aptos"/>
                <w:b/>
                <w:color w:val="FFFFFF"/>
                <w:sz w:val="15"/>
              </w:rPr>
              <w:t>LEVEL</w:t>
            </w:r>
          </w:p>
        </w:tc>
        <w:tc>
          <w:tcPr>
            <w:tcW w:type="dxa" w:w="3485"/>
            <w:shd w:fill="171717"/>
            <w:vAlign w:val="center"/>
          </w:tcPr>
          <w:p>
            <w:r/>
            <w:r>
              <w:rPr>
                <w:rFonts w:ascii="Aptos" w:hAnsi="Aptos"/>
                <w:b/>
                <w:color w:val="FFFFFF"/>
                <w:sz w:val="15"/>
              </w:rPr>
              <w:t>EXAMPLES</w:t>
            </w:r>
          </w:p>
        </w:tc>
        <w:tc>
          <w:tcPr>
            <w:tcW w:type="dxa" w:w="3485"/>
            <w:shd w:fill="171717"/>
            <w:vAlign w:val="center"/>
          </w:tcPr>
          <w:p>
            <w:r/>
            <w:r>
              <w:rPr>
                <w:rFonts w:ascii="Aptos" w:hAnsi="Aptos"/>
                <w:b/>
                <w:color w:val="FFFFFF"/>
                <w:sz w:val="15"/>
              </w:rPr>
              <w:t>TYPICAL RESPONSE</w:t>
            </w:r>
          </w:p>
        </w:tc>
      </w:tr>
      <w:tr>
        <w:tc>
          <w:tcPr>
            <w:tcW w:type="dxa" w:w="3485"/>
            <w:vAlign w:val="center"/>
          </w:tcPr>
          <w:p>
            <w:r/>
            <w:r>
              <w:rPr>
                <w:rFonts w:ascii="Aptos" w:hAnsi="Aptos"/>
                <w:b w:val="0"/>
                <w:color w:val="171717"/>
                <w:sz w:val="15"/>
              </w:rPr>
              <w:t>1 - Reminder / redirection</w:t>
            </w:r>
          </w:p>
        </w:tc>
        <w:tc>
          <w:tcPr>
            <w:tcW w:type="dxa" w:w="3485"/>
            <w:vAlign w:val="center"/>
          </w:tcPr>
          <w:p>
            <w:r/>
            <w:r>
              <w:rPr>
                <w:rFonts w:ascii="Aptos" w:hAnsi="Aptos"/>
                <w:b w:val="0"/>
                <w:color w:val="171717"/>
                <w:sz w:val="15"/>
              </w:rPr>
              <w:t>Talking over others; off-task behaviour; minor disruption</w:t>
            </w:r>
          </w:p>
        </w:tc>
        <w:tc>
          <w:tcPr>
            <w:tcW w:type="dxa" w:w="3485"/>
            <w:vAlign w:val="center"/>
          </w:tcPr>
          <w:p>
            <w:r/>
            <w:r>
              <w:rPr>
                <w:rFonts w:ascii="Aptos" w:hAnsi="Aptos"/>
                <w:b w:val="0"/>
                <w:color w:val="171717"/>
                <w:sz w:val="15"/>
              </w:rPr>
              <w:t>Clear reminder, restate expectation, redirect, praise correction.</w:t>
            </w:r>
          </w:p>
        </w:tc>
      </w:tr>
      <w:tr>
        <w:tc>
          <w:tcPr>
            <w:tcW w:type="dxa" w:w="3485"/>
            <w:vAlign w:val="center"/>
            <w:shd w:fill="F7F7F7"/>
          </w:tcPr>
          <w:p>
            <w:r/>
            <w:r>
              <w:rPr>
                <w:rFonts w:ascii="Aptos" w:hAnsi="Aptos"/>
                <w:b w:val="0"/>
                <w:color w:val="171717"/>
                <w:sz w:val="15"/>
              </w:rPr>
              <w:t>2 - Repeated / disruptive</w:t>
            </w:r>
          </w:p>
        </w:tc>
        <w:tc>
          <w:tcPr>
            <w:tcW w:type="dxa" w:w="3485"/>
            <w:vAlign w:val="center"/>
            <w:shd w:fill="F7F7F7"/>
          </w:tcPr>
          <w:p>
            <w:r/>
            <w:r>
              <w:rPr>
                <w:rFonts w:ascii="Aptos" w:hAnsi="Aptos"/>
                <w:b w:val="0"/>
                <w:color w:val="171717"/>
                <w:sz w:val="15"/>
              </w:rPr>
              <w:t>Repeated refusal, disrespect, unsafe silliness, persistent interruption</w:t>
            </w:r>
          </w:p>
        </w:tc>
        <w:tc>
          <w:tcPr>
            <w:tcW w:type="dxa" w:w="3485"/>
            <w:vAlign w:val="center"/>
            <w:shd w:fill="F7F7F7"/>
          </w:tcPr>
          <w:p>
            <w:r/>
            <w:r>
              <w:rPr>
                <w:rFonts w:ascii="Aptos" w:hAnsi="Aptos"/>
                <w:b w:val="0"/>
                <w:color w:val="171717"/>
                <w:sz w:val="15"/>
              </w:rPr>
              <w:t>Private conversation, change of position/activity, short reset, record if pattern emerging.</w:t>
            </w:r>
          </w:p>
        </w:tc>
      </w:tr>
      <w:tr>
        <w:tc>
          <w:tcPr>
            <w:tcW w:type="dxa" w:w="3485"/>
            <w:vAlign w:val="center"/>
          </w:tcPr>
          <w:p>
            <w:r/>
            <w:r>
              <w:rPr>
                <w:rFonts w:ascii="Aptos" w:hAnsi="Aptos"/>
                <w:b w:val="0"/>
                <w:color w:val="171717"/>
                <w:sz w:val="15"/>
              </w:rPr>
              <w:t>3 - Significant</w:t>
            </w:r>
          </w:p>
        </w:tc>
        <w:tc>
          <w:tcPr>
            <w:tcW w:type="dxa" w:w="3485"/>
            <w:vAlign w:val="center"/>
          </w:tcPr>
          <w:p>
            <w:r/>
            <w:r>
              <w:rPr>
                <w:rFonts w:ascii="Aptos" w:hAnsi="Aptos"/>
                <w:b w:val="0"/>
                <w:color w:val="171717"/>
                <w:sz w:val="15"/>
              </w:rPr>
              <w:t>Aggressive language, deliberate unsafe behaviour, targeted unkindness, repeated bullying behaviour, damage</w:t>
            </w:r>
          </w:p>
        </w:tc>
        <w:tc>
          <w:tcPr>
            <w:tcW w:type="dxa" w:w="3485"/>
            <w:vAlign w:val="center"/>
          </w:tcPr>
          <w:p>
            <w:r/>
            <w:r>
              <w:rPr>
                <w:rFonts w:ascii="Aptos" w:hAnsi="Aptos"/>
                <w:b w:val="0"/>
                <w:color w:val="171717"/>
                <w:sz w:val="15"/>
              </w:rPr>
              <w:t>Remove from activity safely; senior/pastoral involvement; parent contact; incident record; restorative/support plan.</w:t>
            </w:r>
          </w:p>
        </w:tc>
      </w:tr>
      <w:tr>
        <w:tc>
          <w:tcPr>
            <w:tcW w:type="dxa" w:w="3485"/>
            <w:vAlign w:val="center"/>
            <w:shd w:fill="F7F7F7"/>
          </w:tcPr>
          <w:p>
            <w:r/>
            <w:r>
              <w:rPr>
                <w:rFonts w:ascii="Aptos" w:hAnsi="Aptos"/>
                <w:b w:val="0"/>
                <w:color w:val="171717"/>
                <w:sz w:val="15"/>
              </w:rPr>
              <w:t>4 - Serious / safeguarding</w:t>
            </w:r>
          </w:p>
        </w:tc>
        <w:tc>
          <w:tcPr>
            <w:tcW w:type="dxa" w:w="3485"/>
            <w:vAlign w:val="center"/>
            <w:shd w:fill="F7F7F7"/>
          </w:tcPr>
          <w:p>
            <w:r/>
            <w:r>
              <w:rPr>
                <w:rFonts w:ascii="Aptos" w:hAnsi="Aptos"/>
                <w:b w:val="0"/>
                <w:color w:val="171717"/>
                <w:sz w:val="15"/>
              </w:rPr>
              <w:t>Violence, serious threats, sexualised harmful behaviour, discriminatory abuse, deliberate allergen exposure, weapon concern, serious online harassment, absconding</w:t>
            </w:r>
          </w:p>
        </w:tc>
        <w:tc>
          <w:tcPr>
            <w:tcW w:type="dxa" w:w="3485"/>
            <w:vAlign w:val="center"/>
            <w:shd w:fill="F7F7F7"/>
          </w:tcPr>
          <w:p>
            <w:r/>
            <w:r>
              <w:rPr>
                <w:rFonts w:ascii="Aptos" w:hAnsi="Aptos"/>
                <w:b w:val="0"/>
                <w:color w:val="171717"/>
                <w:sz w:val="15"/>
              </w:rPr>
              <w:t>Immediate safety action; DSL/Principal; parent contact where appropriate; safeguarding/police/other agency consideration; formal review of placement.</w:t>
            </w:r>
          </w:p>
        </w:tc>
      </w:tr>
    </w:tbl>
    <w:p/>
    <w:p>
      <w:r>
        <w:t>A consequence must never remove a pupil's access to essential medication, food/water needed for medical reasons, toilet access needed for health, safeguarding support, or emergency assistance.</w:t>
      </w:r>
    </w:p>
    <w:p>
      <w:pPr>
        <w:pStyle w:val="Heading1"/>
      </w:pPr>
      <w:r>
        <w:t>6. Restorative &amp; Supportive Response</w:t>
      </w:r>
    </w:p>
    <w:p>
      <w:pPr>
        <w:spacing w:after="40"/>
      </w:pPr>
      <w:r>
        <w:t xml:space="preserve">• </w:t>
      </w:r>
      <w:r>
        <w:t>Establish what happened using factual, non-leading questions.</w:t>
      </w:r>
    </w:p>
    <w:p>
      <w:pPr>
        <w:spacing w:after="40"/>
      </w:pPr>
      <w:r>
        <w:t xml:space="preserve">• </w:t>
      </w:r>
      <w:r>
        <w:t>Listen separately where necessary and avoid forced face-to-face reconciliation.</w:t>
      </w:r>
    </w:p>
    <w:p>
      <w:pPr>
        <w:spacing w:after="40"/>
      </w:pPr>
      <w:r>
        <w:t xml:space="preserve">• </w:t>
      </w:r>
      <w:r>
        <w:t>Identify harm, impact and what needs to change.</w:t>
      </w:r>
    </w:p>
    <w:p>
      <w:pPr>
        <w:spacing w:after="40"/>
      </w:pPr>
      <w:r>
        <w:t xml:space="preserve">• </w:t>
      </w:r>
      <w:r>
        <w:t>Support a genuine repair: apology where appropriate, replacement/restoration, changed behaviour or agreed boundaries.</w:t>
      </w:r>
    </w:p>
    <w:p>
      <w:pPr>
        <w:spacing w:after="40"/>
      </w:pPr>
      <w:r>
        <w:t xml:space="preserve">• </w:t>
      </w:r>
      <w:r>
        <w:t>Identify unmet need, trigger or skill gap.</w:t>
      </w:r>
    </w:p>
    <w:p>
      <w:pPr>
        <w:spacing w:after="40"/>
      </w:pPr>
      <w:r>
        <w:t xml:space="preserve">• </w:t>
      </w:r>
      <w:r>
        <w:t>Set a clear follow-up and monitor whether behaviour improves.</w:t>
      </w:r>
    </w:p>
    <w:p>
      <w:pPr>
        <w:spacing w:after="40"/>
      </w:pPr>
      <w:r>
        <w:t xml:space="preserve">• </w:t>
      </w:r>
      <w:r>
        <w:t>Do not use restorative practice as a substitute for safeguarding action or appropriate consequences in serious cases.</w:t>
      </w:r>
    </w:p>
    <w:p>
      <w:r>
        <w:br w:type="page"/>
      </w:r>
    </w:p>
    <w:p>
      <w:pPr>
        <w:pStyle w:val="Heading1"/>
      </w:pPr>
      <w:r>
        <w:t>7. Anti-Bullying Statement</w:t>
      </w:r>
    </w:p>
    <w:p>
      <w:r>
        <w:t>Bullying is unacceptable. Stageworks will act when behaviour causes harm, intimidation, humiliation or exclusion, whether repeated or a serious one-off incident. Bullying often involves an imbalance of power, which may be physical, social, emotional, age-related, status-related, online or connected to vulnerability.</w:t>
      </w:r>
    </w:p>
    <w:p>
      <w:pPr>
        <w:pStyle w:val="Heading2"/>
      </w:pPr>
      <w:r>
        <w:t>Bullying may include</w:t>
      </w:r>
    </w:p>
    <w:p>
      <w:pPr>
        <w:spacing w:after="40"/>
      </w:pPr>
      <w:r>
        <w:t xml:space="preserve">• </w:t>
      </w:r>
      <w:r>
        <w:t>Physical bullying: hitting, pushing, intimidation, damaging or taking belongings.</w:t>
      </w:r>
    </w:p>
    <w:p>
      <w:pPr>
        <w:spacing w:after="40"/>
      </w:pPr>
      <w:r>
        <w:t xml:space="preserve">• </w:t>
      </w:r>
      <w:r>
        <w:t>Verbal bullying: insults, threats, mocking, name-calling or humiliating comments.</w:t>
      </w:r>
    </w:p>
    <w:p>
      <w:pPr>
        <w:spacing w:after="40"/>
      </w:pPr>
      <w:r>
        <w:t xml:space="preserve">• </w:t>
      </w:r>
      <w:r>
        <w:t>Social/emotional bullying: deliberate exclusion, rumours, manipulation or coercion.</w:t>
      </w:r>
    </w:p>
    <w:p>
      <w:pPr>
        <w:spacing w:after="40"/>
      </w:pPr>
      <w:r>
        <w:t xml:space="preserve">• </w:t>
      </w:r>
      <w:r>
        <w:t>Online/cyberbullying: abusive messages, posts, images, group-chat behaviour, impersonation or harmful sharing.</w:t>
      </w:r>
    </w:p>
    <w:p>
      <w:pPr>
        <w:spacing w:after="40"/>
      </w:pPr>
      <w:r>
        <w:t xml:space="preserve">• </w:t>
      </w:r>
      <w:r>
        <w:t>Discriminatory bullying/harassment connected to race, religion or belief, sex, disability, sexual orientation, gender reassignment or other protected characteristics.</w:t>
      </w:r>
    </w:p>
    <w:p>
      <w:pPr>
        <w:spacing w:after="40"/>
      </w:pPr>
      <w:r>
        <w:t xml:space="preserve">• </w:t>
      </w:r>
      <w:r>
        <w:t>SEND/disability-related bullying, including mocking communication, sensory, learning or physical differences.</w:t>
      </w:r>
    </w:p>
    <w:p>
      <w:pPr>
        <w:spacing w:after="40"/>
      </w:pPr>
      <w:r>
        <w:t xml:space="preserve">• </w:t>
      </w:r>
      <w:r>
        <w:t>Appearance/body-related bullying, including comments about weight, shape, development, costume or physical ability.</w:t>
      </w:r>
    </w:p>
    <w:p>
      <w:pPr>
        <w:spacing w:after="40"/>
      </w:pPr>
      <w:r>
        <w:t xml:space="preserve">• </w:t>
      </w:r>
      <w:r>
        <w:t>Allergy/medical bullying, including threats or deliberate exposure to an allergen or interference with medication.</w:t>
      </w:r>
    </w:p>
    <w:p>
      <w:pPr>
        <w:spacing w:after="40"/>
      </w:pPr>
      <w:r>
        <w:t xml:space="preserve">• </w:t>
      </w:r>
      <w:r>
        <w:t>Sexual bullying/harassment, sexualised comments, unwanted touching, image-sharing or coercive behaviour.</w:t>
      </w:r>
    </w:p>
    <w:p>
      <w:pPr>
        <w:spacing w:after="40"/>
      </w:pPr>
      <w:r>
        <w:t xml:space="preserve">• </w:t>
      </w:r>
      <w:r>
        <w:t>Bullying connected to family circumstances, socioeconomic circumstances or perceived difference.</w:t>
      </w:r>
    </w:p>
    <w:p>
      <w:pPr>
        <w:pStyle w:val="Heading1"/>
      </w:pPr>
      <w:r>
        <w:t>8. Reporting Bullying</w:t>
      </w:r>
    </w:p>
    <w:p>
      <w:pPr>
        <w:spacing w:after="40"/>
      </w:pPr>
      <w:r>
        <w:t xml:space="preserve">• </w:t>
      </w:r>
      <w:r>
        <w:t>Pupils may tell any trusted member of staff.</w:t>
      </w:r>
    </w:p>
    <w:p>
      <w:pPr>
        <w:spacing w:after="40"/>
      </w:pPr>
      <w:r>
        <w:t xml:space="preserve">• </w:t>
      </w:r>
      <w:r>
        <w:t>Parents/carers may contact Stageworks through the normal communication route.</w:t>
      </w:r>
    </w:p>
    <w:p>
      <w:pPr>
        <w:spacing w:after="40"/>
      </w:pPr>
      <w:r>
        <w:t xml:space="preserve">• </w:t>
      </w:r>
      <w:r>
        <w:t>Staff who witness or receive a report must take it seriously and pass it to the appropriate lead.</w:t>
      </w:r>
    </w:p>
    <w:p>
      <w:pPr>
        <w:spacing w:after="40"/>
      </w:pPr>
      <w:r>
        <w:t xml:space="preserve">• </w:t>
      </w:r>
      <w:r>
        <w:t>Anonymous or third-party information is considered rather than dismissed.</w:t>
      </w:r>
    </w:p>
    <w:p>
      <w:pPr>
        <w:spacing w:after="40"/>
      </w:pPr>
      <w:r>
        <w:t xml:space="preserve">• </w:t>
      </w:r>
      <w:r>
        <w:t>Staff must not promise absolute confidentiality; information is shared on a need-to-know safeguarding basis.</w:t>
      </w:r>
    </w:p>
    <w:p>
      <w:pPr>
        <w:spacing w:after="40"/>
      </w:pPr>
      <w:r>
        <w:t xml:space="preserve">• </w:t>
      </w:r>
      <w:r>
        <w:t>Where the allegation suggests significant harm, sexual harassment/violence, hate crime, assault, exploitation or another safeguarding concern, the DSL procedure takes priority.</w:t>
      </w:r>
    </w:p>
    <w:p>
      <w:pPr>
        <w:pStyle w:val="Heading1"/>
      </w:pPr>
      <w:r>
        <w:t>9. Responding to Bullying</w:t>
      </w:r>
    </w:p>
    <w:p>
      <w:r>
        <w:t>1. Make the immediate situation safe and support the pupil affected.</w:t>
      </w:r>
    </w:p>
    <w:p>
      <w:r>
        <w:t>2. Record the concern factually, including online evidence where relevant and lawful.</w:t>
      </w:r>
    </w:p>
    <w:p>
      <w:r>
        <w:t>3. Speak to pupils separately where this supports a fair and safe assessment.</w:t>
      </w:r>
    </w:p>
    <w:p>
      <w:r>
        <w:t>4. Consider repetition, intent, impact, power imbalance, vulnerability and safeguarding factors.</w:t>
      </w:r>
    </w:p>
    <w:p>
      <w:r>
        <w:t>5. Inform the DSL where safeguarding thresholds may be met.</w:t>
      </w:r>
    </w:p>
    <w:p>
      <w:r>
        <w:t>6. Inform parents/carers as appropriate, taking account of safeguarding advice.</w:t>
      </w:r>
    </w:p>
    <w:p>
      <w:r>
        <w:t>7. Apply proportionate consequences and support.</w:t>
      </w:r>
    </w:p>
    <w:p>
      <w:r>
        <w:t>8. Agree measures to prevent recurrence, including supervision, seating/grouping, digital boundaries or individual support.</w:t>
      </w:r>
    </w:p>
    <w:p>
      <w:r>
        <w:t>9. Follow up with the pupil affected; do not assume the matter is resolved because behaviour stops temporarily.</w:t>
      </w:r>
    </w:p>
    <w:p>
      <w:r>
        <w:t>10. Track repeated incidents and review whether wider culture, curriculum or staff action is needed.</w:t>
      </w:r>
    </w:p>
    <w:p>
      <w:r>
        <w:br w:type="page"/>
      </w:r>
    </w:p>
    <w:p>
      <w:pPr>
        <w:pStyle w:val="Heading1"/>
      </w:pPr>
      <w:r>
        <w:t>10. Online Behaviour &amp; Cyberbullying</w:t>
      </w:r>
    </w:p>
    <w:p>
      <w:r>
        <w:t>Behaviour outside Stageworks or online may require Stageworks action where it affects pupil welfare, relationships, safety, staff, the learning environment or Stageworks activities.</w:t>
      </w:r>
    </w:p>
    <w:p>
      <w:pPr>
        <w:spacing w:after="40"/>
      </w:pPr>
      <w:r>
        <w:t xml:space="preserve">• </w:t>
      </w:r>
      <w:r>
        <w:t>Threatening or abusive group-chat/social-media behaviour linked to Stageworks will be addressed.</w:t>
      </w:r>
    </w:p>
    <w:p>
      <w:pPr>
        <w:spacing w:after="40"/>
      </w:pPr>
      <w:r>
        <w:t xml:space="preserve">• </w:t>
      </w:r>
      <w:r>
        <w:t>Do not ask pupils to circulate harmful content further as evidence.</w:t>
      </w:r>
    </w:p>
    <w:p>
      <w:pPr>
        <w:spacing w:after="40"/>
      </w:pPr>
      <w:r>
        <w:t xml:space="preserve">• </w:t>
      </w:r>
      <w:r>
        <w:t>Preserve relevant evidence safely and proportionately.</w:t>
      </w:r>
    </w:p>
    <w:p>
      <w:pPr>
        <w:spacing w:after="40"/>
      </w:pPr>
      <w:r>
        <w:t xml:space="preserve">• </w:t>
      </w:r>
      <w:r>
        <w:t>Sexual images involving children are a safeguarding matter; staff must follow DSL procedures rather than personally investigating or forwarding content.</w:t>
      </w:r>
    </w:p>
    <w:p>
      <w:pPr>
        <w:spacing w:after="40"/>
      </w:pPr>
      <w:r>
        <w:t xml:space="preserve">• </w:t>
      </w:r>
      <w:r>
        <w:t>Threats, harassment, hate incidents or criminal behaviour may require police or platform reporting.</w:t>
      </w:r>
    </w:p>
    <w:p>
      <w:pPr>
        <w:spacing w:after="40"/>
      </w:pPr>
      <w:r>
        <w:t xml:space="preserve">• </w:t>
      </w:r>
      <w:r>
        <w:t>Parents/carers may be asked to support safe digital boundaries.</w:t>
      </w:r>
    </w:p>
    <w:p>
      <w:pPr>
        <w:pStyle w:val="Heading1"/>
      </w:pPr>
      <w:r>
        <w:t>11. Discrimination, Harassment &amp; Prejudice</w:t>
      </w:r>
    </w:p>
    <w:p>
      <w:r>
        <w:t>Stageworks will challenge discriminatory language, harassment and victimisation. Staff consider the impact on the targeted pupil as well as the intent of the person responsible.</w:t>
      </w:r>
    </w:p>
    <w:p>
      <w:pPr>
        <w:spacing w:after="40"/>
      </w:pPr>
      <w:r>
        <w:t xml:space="preserve">• </w:t>
      </w:r>
      <w:r>
        <w:t>Record significant prejudice-related incidents.</w:t>
      </w:r>
    </w:p>
    <w:p>
      <w:pPr>
        <w:spacing w:after="40"/>
      </w:pPr>
      <w:r>
        <w:t xml:space="preserve">• </w:t>
      </w:r>
      <w:r>
        <w:t>Provide education and corrective work alongside consequences.</w:t>
      </w:r>
    </w:p>
    <w:p>
      <w:pPr>
        <w:spacing w:after="40"/>
      </w:pPr>
      <w:r>
        <w:t xml:space="preserve">• </w:t>
      </w:r>
      <w:r>
        <w:t>Consider safeguarding and equality implications.</w:t>
      </w:r>
    </w:p>
    <w:p>
      <w:pPr>
        <w:spacing w:after="40"/>
      </w:pPr>
      <w:r>
        <w:t xml:space="preserve">• </w:t>
      </w:r>
      <w:r>
        <w:t>Support the targeted pupil and check for recurrence.</w:t>
      </w:r>
    </w:p>
    <w:p>
      <w:pPr>
        <w:spacing w:after="40"/>
      </w:pPr>
      <w:r>
        <w:t xml:space="preserve">• </w:t>
      </w:r>
      <w:r>
        <w:t>Escalate serious threats, violence, hate incidents or sexual harassment appropriately.</w:t>
      </w:r>
    </w:p>
    <w:p>
      <w:pPr>
        <w:pStyle w:val="Heading1"/>
      </w:pPr>
      <w:r>
        <w:t>12. SEND, Disability, Medical Needs &amp; Behaviour</w:t>
      </w:r>
    </w:p>
    <w:p>
      <w:r>
        <w:t>Stageworks recognises that behaviour may be influenced by communication needs, sensory overload, anxiety, trauma, ADHD/autism-related needs, learning difficulty, disability, medical conditions or other factors. This does not mean unsafe or harmful behaviour is ignored.</w:t>
      </w:r>
    </w:p>
    <w:p>
      <w:pPr>
        <w:spacing w:after="40"/>
      </w:pPr>
      <w:r>
        <w:t xml:space="preserve">• </w:t>
      </w:r>
      <w:r>
        <w:t>Make reasonable adjustments to instruction, environment, communication, transitions and regulation support.</w:t>
      </w:r>
    </w:p>
    <w:p>
      <w:pPr>
        <w:spacing w:after="40"/>
      </w:pPr>
      <w:r>
        <w:t xml:space="preserve">• </w:t>
      </w:r>
      <w:r>
        <w:t>Use individual plans where needed.</w:t>
      </w:r>
    </w:p>
    <w:p>
      <w:pPr>
        <w:spacing w:after="40"/>
      </w:pPr>
      <w:r>
        <w:t xml:space="preserve">• </w:t>
      </w:r>
      <w:r>
        <w:t>Distinguish deliberate misconduct from behaviour arising from unmet need where possible.</w:t>
      </w:r>
    </w:p>
    <w:p>
      <w:pPr>
        <w:spacing w:after="40"/>
      </w:pPr>
      <w:r>
        <w:t xml:space="preserve">• </w:t>
      </w:r>
      <w:r>
        <w:t>Review whether the curriculum/activity is appropriately matched and safely supported.</w:t>
      </w:r>
    </w:p>
    <w:p>
      <w:pPr>
        <w:spacing w:after="40"/>
      </w:pPr>
      <w:r>
        <w:t xml:space="preserve">• </w:t>
      </w:r>
      <w:r>
        <w:t>Seek parent/carer and relevant professional information where appropriate.</w:t>
      </w:r>
    </w:p>
    <w:p>
      <w:pPr>
        <w:spacing w:after="40"/>
      </w:pPr>
      <w:r>
        <w:t xml:space="preserve">• </w:t>
      </w:r>
      <w:r>
        <w:t>Maintain clear safety boundaries for all pupils.</w:t>
      </w:r>
    </w:p>
    <w:p>
      <w:pPr>
        <w:pStyle w:val="Heading1"/>
      </w:pPr>
      <w:r>
        <w:t>13. Practical Performing-Arts Safety</w:t>
      </w:r>
    </w:p>
    <w:tbl>
      <w:tblPr>
        <w:tblW w:type="auto" w:w="0"/>
        <w:tblLook w:firstColumn="1" w:firstRow="1" w:lastColumn="0" w:lastRow="0" w:noHBand="0" w:noVBand="1" w:val="04A0"/>
      </w:tblPr>
      <w:tblGrid>
        <w:gridCol w:w="10454"/>
      </w:tblGrid>
      <w:tr>
        <w:tc>
          <w:tcPr>
            <w:tcW w:type="dxa" w:w="10454"/>
            <w:shd w:fill="F4EFE6"/>
            <w:vAlign w:val="center"/>
          </w:tcPr>
          <w:p>
            <w:pPr>
              <w:jc w:val="center"/>
            </w:pPr>
            <w:r/>
            <w:r>
              <w:rPr>
                <w:rFonts w:ascii="Aptos" w:hAnsi="Aptos"/>
                <w:b/>
                <w:color w:val="171717"/>
                <w:sz w:val="18"/>
              </w:rPr>
              <w:t>UNSAFE BEHAVIOUR IN ACRO / AERIAL / DANCE CAN CREATE IMMEDIATE RISK</w:t>
            </w:r>
          </w:p>
        </w:tc>
      </w:tr>
    </w:tbl>
    <w:p/>
    <w:p>
      <w:pPr>
        <w:spacing w:after="40"/>
      </w:pPr>
      <w:r>
        <w:t xml:space="preserve">• </w:t>
      </w:r>
      <w:r>
        <w:t>Pupils must follow teacher instructions before using apparatus, mats or equipment.</w:t>
      </w:r>
    </w:p>
    <w:p>
      <w:pPr>
        <w:spacing w:after="40"/>
      </w:pPr>
      <w:r>
        <w:t xml:space="preserve">• </w:t>
      </w:r>
      <w:r>
        <w:t>No unsupervised aerial/acro skills or deliberate interference with another pupil performing a skill.</w:t>
      </w:r>
    </w:p>
    <w:p>
      <w:pPr>
        <w:spacing w:after="40"/>
      </w:pPr>
      <w:r>
        <w:t xml:space="preserve">• </w:t>
      </w:r>
      <w:r>
        <w:t>No pushing, grabbing, distracting or 'pranking' during physical skills.</w:t>
      </w:r>
    </w:p>
    <w:p>
      <w:pPr>
        <w:spacing w:after="40"/>
      </w:pPr>
      <w:r>
        <w:t xml:space="preserve">• </w:t>
      </w:r>
      <w:r>
        <w:t>Respect spotting, physical-contact and consent procedures.</w:t>
      </w:r>
    </w:p>
    <w:p>
      <w:pPr>
        <w:spacing w:after="40"/>
      </w:pPr>
      <w:r>
        <w:t xml:space="preserve">• </w:t>
      </w:r>
      <w:r>
        <w:t>Jewellery, clothing, hair and footwear rules must be followed for the relevant activity.</w:t>
      </w:r>
    </w:p>
    <w:p>
      <w:pPr>
        <w:spacing w:after="40"/>
      </w:pPr>
      <w:r>
        <w:t xml:space="preserve">• </w:t>
      </w:r>
      <w:r>
        <w:t>Staff may stop a pupil's participation in a particular practical activity immediately where behaviour creates a safety risk, while maintaining appropriate supervision and education.</w:t>
      </w:r>
    </w:p>
    <w:p>
      <w:r>
        <w:br w:type="page"/>
      </w:r>
    </w:p>
    <w:p>
      <w:pPr>
        <w:pStyle w:val="Heading1"/>
      </w:pPr>
      <w:r>
        <w:t>14. Physical Intervention / Restrictive Intervention</w:t>
      </w:r>
    </w:p>
    <w:p>
      <w:r>
        <w:t>Stageworks' priority is prevention, de-escalation and safe supervision. Physical intervention is not a routine behaviour-management technique.</w:t>
      </w:r>
    </w:p>
    <w:p>
      <w:pPr>
        <w:spacing w:after="40"/>
      </w:pPr>
      <w:r>
        <w:t xml:space="preserve">• </w:t>
      </w:r>
      <w:r>
        <w:t>Staff should use non-physical strategies wherever safe and practicable.</w:t>
      </w:r>
    </w:p>
    <w:p>
      <w:pPr>
        <w:spacing w:after="40"/>
      </w:pPr>
      <w:r>
        <w:t xml:space="preserve">• </w:t>
      </w:r>
      <w:r>
        <w:t>Any physical intervention must be necessary, proportionate to the immediate risk and within the law and the member of staff's role/training.</w:t>
      </w:r>
    </w:p>
    <w:p>
      <w:pPr>
        <w:spacing w:after="40"/>
      </w:pPr>
      <w:r>
        <w:t xml:space="preserve">• </w:t>
      </w:r>
      <w:r>
        <w:t>Physical intervention must never be used to punish, humiliate or cause pain.</w:t>
      </w:r>
    </w:p>
    <w:p>
      <w:pPr>
        <w:spacing w:after="40"/>
      </w:pPr>
      <w:r>
        <w:t xml:space="preserve">• </w:t>
      </w:r>
      <w:r>
        <w:t>Incidents involving restrictive intervention must be recorded and reviewed, with parents/carers informed as appropriate.</w:t>
      </w:r>
    </w:p>
    <w:p>
      <w:pPr>
        <w:spacing w:after="40"/>
      </w:pPr>
      <w:r>
        <w:t xml:space="preserve">• </w:t>
      </w:r>
      <w:r>
        <w:t>Where a pupil presents a foreseeable repeated risk, an individual risk/support plan and appropriate staff training should be considered.</w:t>
      </w:r>
    </w:p>
    <w:p>
      <w:pPr>
        <w:spacing w:after="40"/>
      </w:pPr>
      <w:r>
        <w:t xml:space="preserve">• </w:t>
      </w:r>
      <w:r>
        <w:t>Stageworks will follow applicable safeguarding and current restrictive-intervention guidance and obtain specialist advice where necessary.</w:t>
      </w:r>
    </w:p>
    <w:p>
      <w:pPr>
        <w:pStyle w:val="Heading1"/>
      </w:pPr>
      <w:r>
        <w:t>15. Serious Behaviour &amp; Review of Placement</w:t>
      </w:r>
    </w:p>
    <w:p>
      <w:r>
        <w:t>Stageworks may review, suspend or terminate a pupil's Stageworks Education placement where behaviour presents serious or persistent risk, fundamentally undermines the provision, or continues despite appropriate support. This is a contractual/provider decision and is not described as a statutory school exclusion unless Stageworks' legal status gives it that power.</w:t>
      </w:r>
    </w:p>
    <w:p>
      <w:r>
        <w:t>Before ending a placement where practicable, Stageworks will consider:</w:t>
      </w:r>
    </w:p>
    <w:p>
      <w:pPr>
        <w:spacing w:after="40"/>
      </w:pPr>
      <w:r>
        <w:rPr>
          <w:rFonts w:ascii="Arial" w:hAnsi="Arial"/>
        </w:rPr>
        <w:t xml:space="preserve">☐ </w:t>
      </w:r>
      <w:r>
        <w:t>The seriousness and frequency of behaviour.</w:t>
      </w:r>
    </w:p>
    <w:p>
      <w:pPr>
        <w:spacing w:after="40"/>
      </w:pPr>
      <w:r>
        <w:rPr>
          <w:rFonts w:ascii="Arial" w:hAnsi="Arial"/>
        </w:rPr>
        <w:t xml:space="preserve">☐ </w:t>
      </w:r>
      <w:r>
        <w:t>Risk to the pupil, other children or staff.</w:t>
      </w:r>
    </w:p>
    <w:p>
      <w:pPr>
        <w:spacing w:after="40"/>
      </w:pPr>
      <w:r>
        <w:rPr>
          <w:rFonts w:ascii="Arial" w:hAnsi="Arial"/>
        </w:rPr>
        <w:t xml:space="preserve">☐ </w:t>
      </w:r>
      <w:r>
        <w:t>Safeguarding information.</w:t>
      </w:r>
    </w:p>
    <w:p>
      <w:pPr>
        <w:spacing w:after="40"/>
      </w:pPr>
      <w:r>
        <w:rPr>
          <w:rFonts w:ascii="Arial" w:hAnsi="Arial"/>
        </w:rPr>
        <w:t xml:space="preserve">☐ </w:t>
      </w:r>
      <w:r>
        <w:t>SEND/disability/medical needs and reasonable adjustments.</w:t>
      </w:r>
    </w:p>
    <w:p>
      <w:pPr>
        <w:spacing w:after="40"/>
      </w:pPr>
      <w:r>
        <w:rPr>
          <w:rFonts w:ascii="Arial" w:hAnsi="Arial"/>
        </w:rPr>
        <w:t xml:space="preserve">☐ </w:t>
      </w:r>
      <w:r>
        <w:t>Support/interventions already attempted.</w:t>
      </w:r>
    </w:p>
    <w:p>
      <w:pPr>
        <w:spacing w:after="40"/>
      </w:pPr>
      <w:r>
        <w:rPr>
          <w:rFonts w:ascii="Arial" w:hAnsi="Arial"/>
        </w:rPr>
        <w:t xml:space="preserve">☐ </w:t>
      </w:r>
      <w:r>
        <w:t>Parent/carer views and registered-school liaison where appropriate.</w:t>
      </w:r>
    </w:p>
    <w:p>
      <w:pPr>
        <w:spacing w:after="40"/>
      </w:pPr>
      <w:r>
        <w:rPr>
          <w:rFonts w:ascii="Arial" w:hAnsi="Arial"/>
        </w:rPr>
        <w:t xml:space="preserve">☐ </w:t>
      </w:r>
      <w:r>
        <w:t>Whether a managed safety/support plan could reasonably enable continuation.</w:t>
      </w:r>
    </w:p>
    <w:p>
      <w:r>
        <w:t>Immediate temporary removal from an activity or provision may be necessary where there is an urgent safety or safeguarding risk. Any decision affecting Friday attendance will be communicated promptly to parents/carers and, where relevant, the registered school so the child's education/supervision arrangements are clear.</w:t>
      </w:r>
    </w:p>
    <w:p>
      <w:pPr>
        <w:pStyle w:val="Heading1"/>
      </w:pPr>
      <w:r>
        <w:t>16. Parent / Carer Relationships</w:t>
      </w:r>
    </w:p>
    <w:p>
      <w:pPr>
        <w:spacing w:after="40"/>
      </w:pPr>
      <w:r>
        <w:t xml:space="preserve">• </w:t>
      </w:r>
      <w:r>
        <w:t>Stageworks expects respectful two-way communication even where concerns or decisions are disputed.</w:t>
      </w:r>
    </w:p>
    <w:p>
      <w:pPr>
        <w:spacing w:after="40"/>
      </w:pPr>
      <w:r>
        <w:t xml:space="preserve">• </w:t>
      </w:r>
      <w:r>
        <w:t>Parents/carers are encouraged to raise concerns early through the appropriate staff member.</w:t>
      </w:r>
    </w:p>
    <w:p>
      <w:pPr>
        <w:spacing w:after="40"/>
      </w:pPr>
      <w:r>
        <w:t xml:space="preserve">• </w:t>
      </w:r>
      <w:r>
        <w:t>Abusive, threatening, discriminatory or harassing conduct toward staff, pupils or other families is unacceptable.</w:t>
      </w:r>
    </w:p>
    <w:p>
      <w:pPr>
        <w:spacing w:after="40"/>
      </w:pPr>
      <w:r>
        <w:t xml:space="preserve">• </w:t>
      </w:r>
      <w:r>
        <w:t>Serious or repeated parent conduct may be managed under the complaints, safeguarding, premises-access or staff-protection procedures.</w:t>
      </w:r>
    </w:p>
    <w:p>
      <w:pPr>
        <w:spacing w:after="40"/>
      </w:pPr>
      <w:r>
        <w:t xml:space="preserve">• </w:t>
      </w:r>
      <w:r>
        <w:t>Behaviour concerns about a child will be discussed factually and with a focus on improvement and support.</w:t>
      </w:r>
    </w:p>
    <w:p>
      <w:r>
        <w:br w:type="page"/>
      </w:r>
    </w:p>
    <w:p>
      <w:pPr>
        <w:pStyle w:val="Heading1"/>
      </w:pPr>
      <w:r>
        <w:t>17. Staff Protection &amp; Professional Conduct</w:t>
      </w:r>
    </w:p>
    <w:p>
      <w:r>
        <w:t>Bullying, intimidation or harassment of staff by pupils, parents/carers, colleagues or others is not accepted. Stageworks will respond promptly and proportionately, support affected staff and use appropriate reporting/escalation routes.</w:t>
      </w:r>
    </w:p>
    <w:p>
      <w:pPr>
        <w:spacing w:after="40"/>
      </w:pPr>
      <w:r>
        <w:t xml:space="preserve">• </w:t>
      </w:r>
      <w:r>
        <w:t>Staff must also model professional conduct and follow the Staff Code of Conduct.</w:t>
      </w:r>
    </w:p>
    <w:p>
      <w:pPr>
        <w:spacing w:after="40"/>
      </w:pPr>
      <w:r>
        <w:t xml:space="preserve">• </w:t>
      </w:r>
      <w:r>
        <w:t>Concerns about another staff member's conduct are handled through safeguarding/allegations, grievance or whistleblowing routes as appropriate.</w:t>
      </w:r>
    </w:p>
    <w:p>
      <w:pPr>
        <w:spacing w:after="40"/>
      </w:pPr>
      <w:r>
        <w:t xml:space="preserve">• </w:t>
      </w:r>
      <w:r>
        <w:t>Online harassment of staff connected to Stageworks may be addressed even where it occurs outside the premises.</w:t>
      </w:r>
    </w:p>
    <w:p>
      <w:pPr>
        <w:spacing w:after="40"/>
      </w:pPr>
      <w:r>
        <w:t xml:space="preserve">• </w:t>
      </w:r>
      <w:r>
        <w:t>Threats of violence or immediate danger may require police involvement.</w:t>
      </w:r>
    </w:p>
    <w:p>
      <w:pPr>
        <w:pStyle w:val="Heading1"/>
      </w:pPr>
      <w:r>
        <w:t>18. Recording &amp; Monitoring</w:t>
      </w:r>
    </w:p>
    <w:p>
      <w:r>
        <w:t>Routine low-level classroom corrections do not all require formal incident forms. Significant, repeated, bullying, discriminatory, unsafe or safeguarding-related behaviour should be recorded.</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5"/>
              </w:rPr>
              <w:t>RECORD</w:t>
            </w:r>
          </w:p>
        </w:tc>
        <w:tc>
          <w:tcPr>
            <w:tcW w:type="dxa" w:w="5227"/>
            <w:shd w:fill="171717"/>
            <w:vAlign w:val="center"/>
          </w:tcPr>
          <w:p>
            <w:r/>
            <w:r>
              <w:rPr>
                <w:rFonts w:ascii="Aptos" w:hAnsi="Aptos"/>
                <w:b/>
                <w:color w:val="FFFFFF"/>
                <w:sz w:val="15"/>
              </w:rPr>
              <w:t>WHEN USED</w:t>
            </w:r>
          </w:p>
        </w:tc>
      </w:tr>
      <w:tr>
        <w:tc>
          <w:tcPr>
            <w:tcW w:type="dxa" w:w="5227"/>
            <w:vAlign w:val="center"/>
          </w:tcPr>
          <w:p>
            <w:r/>
            <w:r>
              <w:rPr>
                <w:rFonts w:ascii="Aptos" w:hAnsi="Aptos"/>
                <w:b w:val="0"/>
                <w:color w:val="171717"/>
                <w:sz w:val="15"/>
              </w:rPr>
              <w:t>Behaviour incident record</w:t>
            </w:r>
          </w:p>
        </w:tc>
        <w:tc>
          <w:tcPr>
            <w:tcW w:type="dxa" w:w="5227"/>
            <w:vAlign w:val="center"/>
          </w:tcPr>
          <w:p>
            <w:r/>
            <w:r>
              <w:rPr>
                <w:rFonts w:ascii="Aptos" w:hAnsi="Aptos"/>
                <w:b w:val="0"/>
                <w:color w:val="171717"/>
                <w:sz w:val="15"/>
              </w:rPr>
              <w:t>Significant/repeated conduct requiring formal follow-up.</w:t>
            </w:r>
          </w:p>
        </w:tc>
      </w:tr>
      <w:tr>
        <w:tc>
          <w:tcPr>
            <w:tcW w:type="dxa" w:w="5227"/>
            <w:vAlign w:val="center"/>
            <w:shd w:fill="F7F7F7"/>
          </w:tcPr>
          <w:p>
            <w:r/>
            <w:r>
              <w:rPr>
                <w:rFonts w:ascii="Aptos" w:hAnsi="Aptos"/>
                <w:b w:val="0"/>
                <w:color w:val="171717"/>
                <w:sz w:val="15"/>
              </w:rPr>
              <w:t>Bullying concern / investigation record</w:t>
            </w:r>
          </w:p>
        </w:tc>
        <w:tc>
          <w:tcPr>
            <w:tcW w:type="dxa" w:w="5227"/>
            <w:vAlign w:val="center"/>
            <w:shd w:fill="F7F7F7"/>
          </w:tcPr>
          <w:p>
            <w:r/>
            <w:r>
              <w:rPr>
                <w:rFonts w:ascii="Aptos" w:hAnsi="Aptos"/>
                <w:b w:val="0"/>
                <w:color w:val="171717"/>
                <w:sz w:val="15"/>
              </w:rPr>
              <w:t>Reported or suspected bullying requiring assessment and follow-up.</w:t>
            </w:r>
          </w:p>
        </w:tc>
      </w:tr>
      <w:tr>
        <w:tc>
          <w:tcPr>
            <w:tcW w:type="dxa" w:w="5227"/>
            <w:vAlign w:val="center"/>
          </w:tcPr>
          <w:p>
            <w:r/>
            <w:r>
              <w:rPr>
                <w:rFonts w:ascii="Aptos" w:hAnsi="Aptos"/>
                <w:b w:val="0"/>
                <w:color w:val="171717"/>
                <w:sz w:val="15"/>
              </w:rPr>
              <w:t>Safeguarding record</w:t>
            </w:r>
          </w:p>
        </w:tc>
        <w:tc>
          <w:tcPr>
            <w:tcW w:type="dxa" w:w="5227"/>
            <w:vAlign w:val="center"/>
          </w:tcPr>
          <w:p>
            <w:r/>
            <w:r>
              <w:rPr>
                <w:rFonts w:ascii="Aptos" w:hAnsi="Aptos"/>
                <w:b w:val="0"/>
                <w:color w:val="171717"/>
                <w:sz w:val="15"/>
              </w:rPr>
              <w:t>Where behaviour may indicate abuse, exploitation, harmful sexual behaviour or other safeguarding risk.</w:t>
            </w:r>
          </w:p>
        </w:tc>
      </w:tr>
      <w:tr>
        <w:tc>
          <w:tcPr>
            <w:tcW w:type="dxa" w:w="5227"/>
            <w:vAlign w:val="center"/>
            <w:shd w:fill="F7F7F7"/>
          </w:tcPr>
          <w:p>
            <w:r/>
            <w:r>
              <w:rPr>
                <w:rFonts w:ascii="Aptos" w:hAnsi="Aptos"/>
                <w:b w:val="0"/>
                <w:color w:val="171717"/>
                <w:sz w:val="15"/>
              </w:rPr>
              <w:t>Accident / near-miss record</w:t>
            </w:r>
          </w:p>
        </w:tc>
        <w:tc>
          <w:tcPr>
            <w:tcW w:type="dxa" w:w="5227"/>
            <w:vAlign w:val="center"/>
            <w:shd w:fill="F7F7F7"/>
          </w:tcPr>
          <w:p>
            <w:r/>
            <w:r>
              <w:rPr>
                <w:rFonts w:ascii="Aptos" w:hAnsi="Aptos"/>
                <w:b w:val="0"/>
                <w:color w:val="171717"/>
                <w:sz w:val="15"/>
              </w:rPr>
              <w:t>Where behaviour causes or nearly causes injury.</w:t>
            </w:r>
          </w:p>
        </w:tc>
      </w:tr>
      <w:tr>
        <w:tc>
          <w:tcPr>
            <w:tcW w:type="dxa" w:w="5227"/>
            <w:vAlign w:val="center"/>
          </w:tcPr>
          <w:p>
            <w:r/>
            <w:r>
              <w:rPr>
                <w:rFonts w:ascii="Aptos" w:hAnsi="Aptos"/>
                <w:b w:val="0"/>
                <w:color w:val="171717"/>
                <w:sz w:val="15"/>
              </w:rPr>
              <w:t>Individual behaviour/support plan</w:t>
            </w:r>
          </w:p>
        </w:tc>
        <w:tc>
          <w:tcPr>
            <w:tcW w:type="dxa" w:w="5227"/>
            <w:vAlign w:val="center"/>
          </w:tcPr>
          <w:p>
            <w:r/>
            <w:r>
              <w:rPr>
                <w:rFonts w:ascii="Aptos" w:hAnsi="Aptos"/>
                <w:b w:val="0"/>
                <w:color w:val="171717"/>
                <w:sz w:val="15"/>
              </w:rPr>
              <w:t>Where repeated need requires structured adjustments, targets or risk controls.</w:t>
            </w:r>
          </w:p>
        </w:tc>
      </w:tr>
      <w:tr>
        <w:tc>
          <w:tcPr>
            <w:tcW w:type="dxa" w:w="5227"/>
            <w:vAlign w:val="center"/>
            <w:shd w:fill="F7F7F7"/>
          </w:tcPr>
          <w:p>
            <w:r/>
            <w:r>
              <w:rPr>
                <w:rFonts w:ascii="Aptos" w:hAnsi="Aptos"/>
                <w:b w:val="0"/>
                <w:color w:val="171717"/>
                <w:sz w:val="15"/>
              </w:rPr>
              <w:t>Termly behaviour review</w:t>
            </w:r>
          </w:p>
        </w:tc>
        <w:tc>
          <w:tcPr>
            <w:tcW w:type="dxa" w:w="5227"/>
            <w:vAlign w:val="center"/>
            <w:shd w:fill="F7F7F7"/>
          </w:tcPr>
          <w:p>
            <w:r/>
            <w:r>
              <w:rPr>
                <w:rFonts w:ascii="Aptos" w:hAnsi="Aptos"/>
                <w:b w:val="0"/>
                <w:color w:val="171717"/>
                <w:sz w:val="15"/>
              </w:rPr>
              <w:t>Patterns, locations, activities, groups, protected-characteristic/SEND themes and effectiveness of action.</w:t>
            </w:r>
          </w:p>
        </w:tc>
      </w:tr>
    </w:tbl>
    <w:p/>
    <w:p>
      <w:pPr>
        <w:pStyle w:val="Heading1"/>
      </w:pPr>
      <w:r>
        <w:t>19. Behaviour Incident Record</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5"/>
              </w:rPr>
              <w:t>FIELD</w:t>
            </w:r>
          </w:p>
        </w:tc>
        <w:tc>
          <w:tcPr>
            <w:tcW w:type="dxa" w:w="5227"/>
            <w:shd w:fill="171717"/>
            <w:vAlign w:val="center"/>
          </w:tcPr>
          <w:p>
            <w:r/>
            <w:r>
              <w:rPr>
                <w:rFonts w:ascii="Aptos" w:hAnsi="Aptos"/>
                <w:b/>
                <w:color w:val="FFFFFF"/>
                <w:sz w:val="15"/>
              </w:rPr>
              <w:t>DETAIL</w:t>
            </w:r>
          </w:p>
        </w:tc>
      </w:tr>
      <w:tr>
        <w:tc>
          <w:tcPr>
            <w:tcW w:type="dxa" w:w="5227"/>
            <w:vAlign w:val="center"/>
          </w:tcPr>
          <w:p>
            <w:r/>
            <w:r>
              <w:rPr>
                <w:rFonts w:ascii="Aptos" w:hAnsi="Aptos"/>
                <w:b w:val="0"/>
                <w:color w:val="171717"/>
                <w:sz w:val="15"/>
              </w:rPr>
              <w:t>Pupil(s)</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Date / time / location</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Staff present</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Activity / context</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Factual account of behaviour</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Immediate safety action</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Pupil account / views</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Others affected / support provided</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SEND / medical / communication factors considered</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Bullying / discriminatory / sexual / online element?</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Safeguarding / DSL referral?</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Parent/carer contact</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Consequence / restorative action</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Support / reasonable adjustment</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Registered school informed if relevant</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Follow-up date / outcome</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Completed by</w:t>
            </w:r>
          </w:p>
        </w:tc>
        <w:tc>
          <w:tcPr>
            <w:tcW w:type="dxa" w:w="5227"/>
            <w:vAlign w:val="center"/>
          </w:tcPr>
          <w:p>
            <w:r/>
            <w:r>
              <w:rPr>
                <w:rFonts w:ascii="Aptos" w:hAnsi="Aptos"/>
                <w:b w:val="0"/>
                <w:color w:val="171717"/>
                <w:sz w:val="15"/>
              </w:rPr>
            </w:r>
          </w:p>
        </w:tc>
      </w:tr>
    </w:tbl>
    <w:p/>
    <w:p>
      <w:r>
        <w:br w:type="page"/>
      </w:r>
    </w:p>
    <w:p>
      <w:pPr>
        <w:pStyle w:val="Heading1"/>
      </w:pPr>
      <w:r>
        <w:t>20. Bullying Concern &amp; Follow-Up Record</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5"/>
              </w:rPr>
              <w:t>FIELD</w:t>
            </w:r>
          </w:p>
        </w:tc>
        <w:tc>
          <w:tcPr>
            <w:tcW w:type="dxa" w:w="5227"/>
            <w:shd w:fill="171717"/>
            <w:vAlign w:val="center"/>
          </w:tcPr>
          <w:p>
            <w:r/>
            <w:r>
              <w:rPr>
                <w:rFonts w:ascii="Aptos" w:hAnsi="Aptos"/>
                <w:b/>
                <w:color w:val="FFFFFF"/>
                <w:sz w:val="15"/>
              </w:rPr>
              <w:t>DETAIL</w:t>
            </w:r>
          </w:p>
        </w:tc>
      </w:tr>
      <w:tr>
        <w:tc>
          <w:tcPr>
            <w:tcW w:type="dxa" w:w="5227"/>
            <w:vAlign w:val="center"/>
          </w:tcPr>
          <w:p>
            <w:r/>
            <w:r>
              <w:rPr>
                <w:rFonts w:ascii="Aptos" w:hAnsi="Aptos"/>
                <w:b w:val="0"/>
                <w:color w:val="171717"/>
                <w:sz w:val="15"/>
              </w:rPr>
              <w:t>Pupil reporting / affected</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Pupil(s) alleged responsible</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Date reported</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Nature: physical / verbal / social / online / discriminatory / sexual / SEND / medical / other</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What is alleged to have happened?</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Repeated / one-off serious incident / power imbalance information</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Evidence / witnesses</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Immediate protection/support</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DSL involvement</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Parents/carers informed</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Findings / professional assessment</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Action with pupil responsible</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Action/support for pupil affected</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Prevention / supervision changes</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Follow-up 1</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Follow-up 2 / recurrence?</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Closed by / date</w:t>
            </w:r>
          </w:p>
        </w:tc>
        <w:tc>
          <w:tcPr>
            <w:tcW w:type="dxa" w:w="5227"/>
            <w:vAlign w:val="center"/>
          </w:tcPr>
          <w:p>
            <w:r/>
            <w:r>
              <w:rPr>
                <w:rFonts w:ascii="Aptos" w:hAnsi="Aptos"/>
                <w:b w:val="0"/>
                <w:color w:val="171717"/>
                <w:sz w:val="15"/>
              </w:rPr>
            </w:r>
          </w:p>
        </w:tc>
      </w:tr>
    </w:tbl>
    <w:p/>
    <w:p>
      <w:pPr>
        <w:pStyle w:val="Heading1"/>
      </w:pPr>
      <w:r>
        <w:t>21. Individual Behaviour &amp; Support Plan</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5"/>
              </w:rPr>
              <w:t>AREA</w:t>
            </w:r>
          </w:p>
        </w:tc>
        <w:tc>
          <w:tcPr>
            <w:tcW w:type="dxa" w:w="5227"/>
            <w:shd w:fill="171717"/>
            <w:vAlign w:val="center"/>
          </w:tcPr>
          <w:p>
            <w:r/>
            <w:r>
              <w:rPr>
                <w:rFonts w:ascii="Aptos" w:hAnsi="Aptos"/>
                <w:b/>
                <w:color w:val="FFFFFF"/>
                <w:sz w:val="15"/>
              </w:rPr>
              <w:t>PLAN</w:t>
            </w:r>
          </w:p>
        </w:tc>
      </w:tr>
      <w:tr>
        <w:tc>
          <w:tcPr>
            <w:tcW w:type="dxa" w:w="5227"/>
            <w:vAlign w:val="center"/>
          </w:tcPr>
          <w:p>
            <w:r/>
            <w:r>
              <w:rPr>
                <w:rFonts w:ascii="Aptos" w:hAnsi="Aptos"/>
                <w:b w:val="0"/>
                <w:color w:val="171717"/>
                <w:sz w:val="15"/>
              </w:rPr>
              <w:t>Pupil / date</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Strengths / interests</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Behaviour or safety concern</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Known triggers / antecedents</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Communication / SEND / medical factors</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What helps regulation / success</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Clear expectations / targets</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Reasonable adjustments</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Staff response / de-escalation</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Practical activity safety controls</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Positive recognition</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Consequences if boundaries are breached</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Parent/carer contribution</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Pupil voice</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Review date / outcome</w:t>
            </w:r>
          </w:p>
        </w:tc>
        <w:tc>
          <w:tcPr>
            <w:tcW w:type="dxa" w:w="5227"/>
            <w:vAlign w:val="center"/>
          </w:tcPr>
          <w:p>
            <w:r/>
            <w:r>
              <w:rPr>
                <w:rFonts w:ascii="Aptos" w:hAnsi="Aptos"/>
                <w:b w:val="0"/>
                <w:color w:val="171717"/>
                <w:sz w:val="15"/>
              </w:rPr>
            </w:r>
          </w:p>
        </w:tc>
      </w:tr>
    </w:tbl>
    <w:p/>
    <w:p>
      <w:pPr>
        <w:pStyle w:val="Heading1"/>
      </w:pPr>
      <w:r>
        <w:t>22. Termly Behaviour &amp; Bullying Review</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5"/>
              </w:rPr>
              <w:t>REVIEW QUESTION</w:t>
            </w:r>
          </w:p>
        </w:tc>
        <w:tc>
          <w:tcPr>
            <w:tcW w:type="dxa" w:w="5227"/>
            <w:shd w:fill="171717"/>
            <w:vAlign w:val="center"/>
          </w:tcPr>
          <w:p>
            <w:r/>
            <w:r>
              <w:rPr>
                <w:rFonts w:ascii="Aptos" w:hAnsi="Aptos"/>
                <w:b/>
                <w:color w:val="FFFFFF"/>
                <w:sz w:val="15"/>
              </w:rPr>
              <w:t>FINDING / ACTION</w:t>
            </w:r>
          </w:p>
        </w:tc>
      </w:tr>
      <w:tr>
        <w:tc>
          <w:tcPr>
            <w:tcW w:type="dxa" w:w="5227"/>
            <w:vAlign w:val="center"/>
          </w:tcPr>
          <w:p>
            <w:r/>
            <w:r>
              <w:rPr>
                <w:rFonts w:ascii="Aptos" w:hAnsi="Aptos"/>
                <w:b w:val="0"/>
                <w:color w:val="171717"/>
                <w:sz w:val="15"/>
              </w:rPr>
              <w:t>Number/nature of significant behaviour incidents</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Bullying concerns and recurrence</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Discriminatory / prejudice-related themes</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Online behaviour themes</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Practical activity safety incidents</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SEND / medical / communication patterns</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Pupils requiring additional support</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Staff consistency / training needs</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Parent / school liaison issues</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Actions for next term</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Reviewed by / date</w:t>
            </w:r>
          </w:p>
        </w:tc>
        <w:tc>
          <w:tcPr>
            <w:tcW w:type="dxa" w:w="5227"/>
            <w:vAlign w:val="center"/>
          </w:tcPr>
          <w:p>
            <w:r/>
            <w:r>
              <w:rPr>
                <w:rFonts w:ascii="Aptos" w:hAnsi="Aptos"/>
                <w:b w:val="0"/>
                <w:color w:val="171717"/>
                <w:sz w:val="15"/>
              </w:rPr>
            </w:r>
          </w:p>
        </w:tc>
      </w:tr>
    </w:tbl>
    <w:p/>
    <w:p>
      <w:r>
        <w:br w:type="page"/>
      </w:r>
    </w:p>
    <w:p>
      <w:pPr>
        <w:pStyle w:val="Heading1"/>
      </w:pPr>
      <w:r>
        <w:t>23. Inspection Evidence Index</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5"/>
              </w:rPr>
              <w:t>EVIDENCE</w:t>
            </w:r>
          </w:p>
        </w:tc>
        <w:tc>
          <w:tcPr>
            <w:tcW w:type="dxa" w:w="5227"/>
            <w:shd w:fill="171717"/>
            <w:vAlign w:val="center"/>
          </w:tcPr>
          <w:p>
            <w:r/>
            <w:r>
              <w:rPr>
                <w:rFonts w:ascii="Aptos" w:hAnsi="Aptos"/>
                <w:b/>
                <w:color w:val="FFFFFF"/>
                <w:sz w:val="15"/>
              </w:rPr>
              <w:t>STATUS / LOCATION</w:t>
            </w:r>
          </w:p>
        </w:tc>
      </w:tr>
      <w:tr>
        <w:tc>
          <w:tcPr>
            <w:tcW w:type="dxa" w:w="5227"/>
            <w:vAlign w:val="center"/>
          </w:tcPr>
          <w:p>
            <w:r/>
            <w:r>
              <w:rPr>
                <w:rFonts w:ascii="Aptos" w:hAnsi="Aptos"/>
                <w:b w:val="0"/>
                <w:color w:val="171717"/>
                <w:sz w:val="15"/>
              </w:rPr>
              <w:t>Behaviour, Anti-Bullying &amp; Positive Relationships Policy</w:t>
            </w:r>
          </w:p>
        </w:tc>
        <w:tc>
          <w:tcPr>
            <w:tcW w:type="dxa" w:w="5227"/>
            <w:vAlign w:val="center"/>
          </w:tcPr>
          <w:p>
            <w:r/>
            <w:r>
              <w:rPr>
                <w:rFonts w:ascii="Aptos" w:hAnsi="Aptos"/>
                <w:b w:val="0"/>
                <w:color w:val="171717"/>
                <w:sz w:val="15"/>
              </w:rPr>
              <w:t>This document</w:t>
            </w:r>
          </w:p>
        </w:tc>
      </w:tr>
      <w:tr>
        <w:tc>
          <w:tcPr>
            <w:tcW w:type="dxa" w:w="5227"/>
            <w:vAlign w:val="center"/>
            <w:shd w:fill="F7F7F7"/>
          </w:tcPr>
          <w:p>
            <w:r/>
            <w:r>
              <w:rPr>
                <w:rFonts w:ascii="Aptos" w:hAnsi="Aptos"/>
                <w:b w:val="0"/>
                <w:color w:val="171717"/>
                <w:sz w:val="15"/>
              </w:rPr>
              <w:t>Pupil expectations / code</w:t>
            </w:r>
          </w:p>
        </w:tc>
        <w:tc>
          <w:tcPr>
            <w:tcW w:type="dxa" w:w="5227"/>
            <w:vAlign w:val="center"/>
            <w:shd w:fill="F7F7F7"/>
          </w:tcPr>
          <w:p>
            <w:r/>
            <w:r>
              <w:rPr>
                <w:rFonts w:ascii="Aptos" w:hAnsi="Aptos"/>
                <w:b w:val="0"/>
                <w:color w:val="171717"/>
                <w:sz w:val="15"/>
              </w:rPr>
              <w:t>Section 1 / parent-pupil materials</w:t>
            </w:r>
          </w:p>
        </w:tc>
      </w:tr>
      <w:tr>
        <w:tc>
          <w:tcPr>
            <w:tcW w:type="dxa" w:w="5227"/>
            <w:vAlign w:val="center"/>
          </w:tcPr>
          <w:p>
            <w:r/>
            <w:r>
              <w:rPr>
                <w:rFonts w:ascii="Aptos" w:hAnsi="Aptos"/>
                <w:b w:val="0"/>
                <w:color w:val="171717"/>
                <w:sz w:val="15"/>
              </w:rPr>
              <w:t>Behaviour incident records</w:t>
            </w:r>
          </w:p>
        </w:tc>
        <w:tc>
          <w:tcPr>
            <w:tcW w:type="dxa" w:w="5227"/>
            <w:vAlign w:val="center"/>
          </w:tcPr>
          <w:p>
            <w:r/>
            <w:r>
              <w:rPr>
                <w:rFonts w:ascii="Aptos" w:hAnsi="Aptos"/>
                <w:b w:val="0"/>
                <w:color w:val="171717"/>
                <w:sz w:val="15"/>
              </w:rPr>
              <w:t>Section 19 / secure records</w:t>
            </w:r>
          </w:p>
        </w:tc>
      </w:tr>
      <w:tr>
        <w:tc>
          <w:tcPr>
            <w:tcW w:type="dxa" w:w="5227"/>
            <w:vAlign w:val="center"/>
            <w:shd w:fill="F7F7F7"/>
          </w:tcPr>
          <w:p>
            <w:r/>
            <w:r>
              <w:rPr>
                <w:rFonts w:ascii="Aptos" w:hAnsi="Aptos"/>
                <w:b w:val="0"/>
                <w:color w:val="171717"/>
                <w:sz w:val="15"/>
              </w:rPr>
              <w:t>Bullying concern and follow-up records</w:t>
            </w:r>
          </w:p>
        </w:tc>
        <w:tc>
          <w:tcPr>
            <w:tcW w:type="dxa" w:w="5227"/>
            <w:vAlign w:val="center"/>
            <w:shd w:fill="F7F7F7"/>
          </w:tcPr>
          <w:p>
            <w:r/>
            <w:r>
              <w:rPr>
                <w:rFonts w:ascii="Aptos" w:hAnsi="Aptos"/>
                <w:b w:val="0"/>
                <w:color w:val="171717"/>
                <w:sz w:val="15"/>
              </w:rPr>
              <w:t>Section 20 / secure records</w:t>
            </w:r>
          </w:p>
        </w:tc>
      </w:tr>
      <w:tr>
        <w:tc>
          <w:tcPr>
            <w:tcW w:type="dxa" w:w="5227"/>
            <w:vAlign w:val="center"/>
          </w:tcPr>
          <w:p>
            <w:r/>
            <w:r>
              <w:rPr>
                <w:rFonts w:ascii="Aptos" w:hAnsi="Aptos"/>
                <w:b w:val="0"/>
                <w:color w:val="171717"/>
                <w:sz w:val="15"/>
              </w:rPr>
              <w:t>Individual behaviour/support plans</w:t>
            </w:r>
          </w:p>
        </w:tc>
        <w:tc>
          <w:tcPr>
            <w:tcW w:type="dxa" w:w="5227"/>
            <w:vAlign w:val="center"/>
          </w:tcPr>
          <w:p>
            <w:r/>
            <w:r>
              <w:rPr>
                <w:rFonts w:ascii="Aptos" w:hAnsi="Aptos"/>
                <w:b w:val="0"/>
                <w:color w:val="171717"/>
                <w:sz w:val="15"/>
              </w:rPr>
              <w:t>Section 21 where required</w:t>
            </w:r>
          </w:p>
        </w:tc>
      </w:tr>
      <w:tr>
        <w:tc>
          <w:tcPr>
            <w:tcW w:type="dxa" w:w="5227"/>
            <w:vAlign w:val="center"/>
            <w:shd w:fill="F7F7F7"/>
          </w:tcPr>
          <w:p>
            <w:r/>
            <w:r>
              <w:rPr>
                <w:rFonts w:ascii="Aptos" w:hAnsi="Aptos"/>
                <w:b w:val="0"/>
                <w:color w:val="171717"/>
                <w:sz w:val="15"/>
              </w:rPr>
              <w:t>Safeguarding referrals linked to behaviour</w:t>
            </w:r>
          </w:p>
        </w:tc>
        <w:tc>
          <w:tcPr>
            <w:tcW w:type="dxa" w:w="5227"/>
            <w:vAlign w:val="center"/>
            <w:shd w:fill="F7F7F7"/>
          </w:tcPr>
          <w:p>
            <w:r/>
            <w:r>
              <w:rPr>
                <w:rFonts w:ascii="Aptos" w:hAnsi="Aptos"/>
                <w:b w:val="0"/>
                <w:color w:val="171717"/>
                <w:sz w:val="15"/>
              </w:rPr>
              <w:t>Safeguarding file</w:t>
            </w:r>
          </w:p>
        </w:tc>
      </w:tr>
      <w:tr>
        <w:tc>
          <w:tcPr>
            <w:tcW w:type="dxa" w:w="5227"/>
            <w:vAlign w:val="center"/>
          </w:tcPr>
          <w:p>
            <w:r/>
            <w:r>
              <w:rPr>
                <w:rFonts w:ascii="Aptos" w:hAnsi="Aptos"/>
                <w:b w:val="0"/>
                <w:color w:val="171717"/>
                <w:sz w:val="15"/>
              </w:rPr>
              <w:t>SEND / reasonable-adjustment evidence</w:t>
            </w:r>
          </w:p>
        </w:tc>
        <w:tc>
          <w:tcPr>
            <w:tcW w:type="dxa" w:w="5227"/>
            <w:vAlign w:val="center"/>
          </w:tcPr>
          <w:p>
            <w:r/>
            <w:r>
              <w:rPr>
                <w:rFonts w:ascii="Aptos" w:hAnsi="Aptos"/>
                <w:b w:val="0"/>
                <w:color w:val="171717"/>
                <w:sz w:val="15"/>
              </w:rPr>
              <w:t>SEND / Inclusion file</w:t>
            </w:r>
          </w:p>
        </w:tc>
      </w:tr>
      <w:tr>
        <w:tc>
          <w:tcPr>
            <w:tcW w:type="dxa" w:w="5227"/>
            <w:vAlign w:val="center"/>
            <w:shd w:fill="F7F7F7"/>
          </w:tcPr>
          <w:p>
            <w:r/>
            <w:r>
              <w:rPr>
                <w:rFonts w:ascii="Aptos" w:hAnsi="Aptos"/>
                <w:b w:val="0"/>
                <w:color w:val="171717"/>
                <w:sz w:val="15"/>
              </w:rPr>
              <w:t>Parent communication</w:t>
            </w:r>
          </w:p>
        </w:tc>
        <w:tc>
          <w:tcPr>
            <w:tcW w:type="dxa" w:w="5227"/>
            <w:vAlign w:val="center"/>
            <w:shd w:fill="F7F7F7"/>
          </w:tcPr>
          <w:p>
            <w:r/>
            <w:r>
              <w:rPr>
                <w:rFonts w:ascii="Aptos" w:hAnsi="Aptos"/>
                <w:b w:val="0"/>
                <w:color w:val="171717"/>
                <w:sz w:val="15"/>
              </w:rPr>
              <w:t>Secure pupil record</w:t>
            </w:r>
          </w:p>
        </w:tc>
      </w:tr>
      <w:tr>
        <w:tc>
          <w:tcPr>
            <w:tcW w:type="dxa" w:w="5227"/>
            <w:vAlign w:val="center"/>
          </w:tcPr>
          <w:p>
            <w:r/>
            <w:r>
              <w:rPr>
                <w:rFonts w:ascii="Aptos" w:hAnsi="Aptos"/>
                <w:b w:val="0"/>
                <w:color w:val="171717"/>
                <w:sz w:val="15"/>
              </w:rPr>
              <w:t>Registered-school liaison</w:t>
            </w:r>
          </w:p>
        </w:tc>
        <w:tc>
          <w:tcPr>
            <w:tcW w:type="dxa" w:w="5227"/>
            <w:vAlign w:val="center"/>
          </w:tcPr>
          <w:p>
            <w:r/>
            <w:r>
              <w:rPr>
                <w:rFonts w:ascii="Aptos" w:hAnsi="Aptos"/>
                <w:b w:val="0"/>
                <w:color w:val="171717"/>
                <w:sz w:val="15"/>
              </w:rPr>
              <w:t>Relevant pupil record</w:t>
            </w:r>
          </w:p>
        </w:tc>
      </w:tr>
      <w:tr>
        <w:tc>
          <w:tcPr>
            <w:tcW w:type="dxa" w:w="5227"/>
            <w:vAlign w:val="center"/>
            <w:shd w:fill="F7F7F7"/>
          </w:tcPr>
          <w:p>
            <w:r/>
            <w:r>
              <w:rPr>
                <w:rFonts w:ascii="Aptos" w:hAnsi="Aptos"/>
                <w:b w:val="0"/>
                <w:color w:val="171717"/>
                <w:sz w:val="15"/>
              </w:rPr>
              <w:t>Termly behaviour review</w:t>
            </w:r>
          </w:p>
        </w:tc>
        <w:tc>
          <w:tcPr>
            <w:tcW w:type="dxa" w:w="5227"/>
            <w:vAlign w:val="center"/>
            <w:shd w:fill="F7F7F7"/>
          </w:tcPr>
          <w:p>
            <w:r/>
            <w:r>
              <w:rPr>
                <w:rFonts w:ascii="Aptos" w:hAnsi="Aptos"/>
                <w:b w:val="0"/>
                <w:color w:val="171717"/>
                <w:sz w:val="15"/>
              </w:rPr>
              <w:t>Section 22</w:t>
            </w:r>
          </w:p>
        </w:tc>
      </w:tr>
      <w:tr>
        <w:tc>
          <w:tcPr>
            <w:tcW w:type="dxa" w:w="5227"/>
            <w:vAlign w:val="center"/>
          </w:tcPr>
          <w:p>
            <w:r/>
            <w:r>
              <w:rPr>
                <w:rFonts w:ascii="Aptos" w:hAnsi="Aptos"/>
                <w:b w:val="0"/>
                <w:color w:val="171717"/>
                <w:sz w:val="15"/>
              </w:rPr>
              <w:t>Staff behaviour / safeguarding training</w:t>
            </w:r>
          </w:p>
        </w:tc>
        <w:tc>
          <w:tcPr>
            <w:tcW w:type="dxa" w:w="5227"/>
            <w:vAlign w:val="center"/>
          </w:tcPr>
          <w:p>
            <w:r/>
            <w:r>
              <w:rPr>
                <w:rFonts w:ascii="Aptos" w:hAnsi="Aptos"/>
                <w:b w:val="0"/>
                <w:color w:val="171717"/>
                <w:sz w:val="15"/>
              </w:rPr>
              <w:t>Training file</w:t>
            </w:r>
          </w:p>
        </w:tc>
      </w:tr>
      <w:tr>
        <w:tc>
          <w:tcPr>
            <w:tcW w:type="dxa" w:w="5227"/>
            <w:vAlign w:val="center"/>
            <w:shd w:fill="F7F7F7"/>
          </w:tcPr>
          <w:p>
            <w:r/>
            <w:r>
              <w:rPr>
                <w:rFonts w:ascii="Aptos" w:hAnsi="Aptos"/>
                <w:b w:val="0"/>
                <w:color w:val="171717"/>
                <w:sz w:val="15"/>
              </w:rPr>
              <w:t>Staff Code of Conduct</w:t>
            </w:r>
          </w:p>
        </w:tc>
        <w:tc>
          <w:tcPr>
            <w:tcW w:type="dxa" w:w="5227"/>
            <w:vAlign w:val="center"/>
            <w:shd w:fill="F7F7F7"/>
          </w:tcPr>
          <w:p>
            <w:r/>
            <w:r>
              <w:rPr>
                <w:rFonts w:ascii="Aptos" w:hAnsi="Aptos"/>
                <w:b w:val="0"/>
                <w:color w:val="171717"/>
                <w:sz w:val="15"/>
              </w:rPr>
              <w:t>Separate policy</w:t>
            </w:r>
          </w:p>
        </w:tc>
      </w:tr>
    </w:tbl>
    <w:p/>
    <w:p>
      <w:pPr>
        <w:pStyle w:val="Heading1"/>
      </w:pPr>
      <w:r>
        <w:t>24. Immediate Implementation Checklist</w:t>
      </w:r>
    </w:p>
    <w:p>
      <w:pPr>
        <w:spacing w:after="40"/>
      </w:pPr>
      <w:r>
        <w:rPr>
          <w:rFonts w:ascii="Arial" w:hAnsi="Arial"/>
        </w:rPr>
        <w:t xml:space="preserve">☐ </w:t>
      </w:r>
      <w:r>
        <w:t>Formally designate the Behaviour / Pastoral Lead.</w:t>
      </w:r>
    </w:p>
    <w:p>
      <w:pPr>
        <w:spacing w:after="40"/>
      </w:pPr>
      <w:r>
        <w:rPr>
          <w:rFonts w:ascii="Arial" w:hAnsi="Arial"/>
        </w:rPr>
        <w:t xml:space="preserve">☐ </w:t>
      </w:r>
      <w:r>
        <w:t>Brief all Stageworks Education staff on the four-level response framework and safeguarding escalation.</w:t>
      </w:r>
    </w:p>
    <w:p>
      <w:pPr>
        <w:spacing w:after="40"/>
      </w:pPr>
      <w:r>
        <w:rPr>
          <w:rFonts w:ascii="Arial" w:hAnsi="Arial"/>
        </w:rPr>
        <w:t xml:space="preserve">☐ </w:t>
      </w:r>
      <w:r>
        <w:t>Teach/revisit Stageworks expectations with pupils at induction and at appropriate intervals.</w:t>
      </w:r>
    </w:p>
    <w:p>
      <w:pPr>
        <w:spacing w:after="40"/>
      </w:pPr>
      <w:r>
        <w:rPr>
          <w:rFonts w:ascii="Arial" w:hAnsi="Arial"/>
        </w:rPr>
        <w:t xml:space="preserve">☐ </w:t>
      </w:r>
      <w:r>
        <w:t>Ensure staff know how to record significant behaviour and bullying concerns.</w:t>
      </w:r>
    </w:p>
    <w:p>
      <w:pPr>
        <w:spacing w:after="40"/>
      </w:pPr>
      <w:r>
        <w:rPr>
          <w:rFonts w:ascii="Arial" w:hAnsi="Arial"/>
        </w:rPr>
        <w:t xml:space="preserve">☐ </w:t>
      </w:r>
      <w:r>
        <w:t>Cross-reference the allergy policy so deliberate allergen exposure is treated as a serious medical/safeguarding issue.</w:t>
      </w:r>
    </w:p>
    <w:p>
      <w:pPr>
        <w:spacing w:after="40"/>
      </w:pPr>
      <w:r>
        <w:rPr>
          <w:rFonts w:ascii="Arial" w:hAnsi="Arial"/>
        </w:rPr>
        <w:t xml:space="preserve">☐ </w:t>
      </w:r>
      <w:r>
        <w:t>Ensure practical teachers understand the immediate-stop procedure for unsafe acro/aerial/dance behaviour.</w:t>
      </w:r>
    </w:p>
    <w:p>
      <w:pPr>
        <w:spacing w:after="40"/>
      </w:pPr>
      <w:r>
        <w:rPr>
          <w:rFonts w:ascii="Arial" w:hAnsi="Arial"/>
        </w:rPr>
        <w:t xml:space="preserve">☐ </w:t>
      </w:r>
      <w:r>
        <w:t>Agree how parents/carers will receive the behaviour expectations.</w:t>
      </w:r>
    </w:p>
    <w:p>
      <w:pPr>
        <w:spacing w:after="40"/>
      </w:pPr>
      <w:r>
        <w:rPr>
          <w:rFonts w:ascii="Arial" w:hAnsi="Arial"/>
        </w:rPr>
        <w:t xml:space="preserve">☐ </w:t>
      </w:r>
      <w:r>
        <w:t>Set a termly behaviour/bullying review date.</w:t>
      </w:r>
    </w:p>
    <w:p>
      <w:pPr>
        <w:spacing w:after="40"/>
      </w:pPr>
      <w:r>
        <w:rPr>
          <w:rFonts w:ascii="Arial" w:hAnsi="Arial"/>
        </w:rPr>
        <w:t xml:space="preserve">☐ </w:t>
      </w:r>
      <w:r>
        <w:t>Create individual support/risk plans for pupils where repeated behaviour or additional needs require them.</w:t>
      </w:r>
    </w:p>
    <w:p>
      <w:pPr>
        <w:pStyle w:val="Heading1"/>
      </w:pPr>
      <w:r>
        <w:t>25. Approval &amp; Review</w:t>
      </w:r>
    </w:p>
    <w:tbl>
      <w:tblPr>
        <w:tblStyle w:val="TableGrid"/>
        <w:tblW w:type="auto" w:w="0"/>
        <w:jc w:val="center"/>
        <w:tblLook w:firstColumn="1" w:firstRow="1" w:lastColumn="0" w:lastRow="0" w:noHBand="0" w:noVBand="1" w:val="04A0"/>
      </w:tblPr>
      <w:tblGrid>
        <w:gridCol w:w="5227"/>
        <w:gridCol w:w="5227"/>
      </w:tblGrid>
      <w:tr>
        <w:tc>
          <w:tcPr>
            <w:tcW w:type="dxa" w:w="5227"/>
            <w:shd w:fill="171717"/>
            <w:vAlign w:val="center"/>
          </w:tcPr>
          <w:p>
            <w:r/>
            <w:r>
              <w:rPr>
                <w:rFonts w:ascii="Aptos" w:hAnsi="Aptos"/>
                <w:b/>
                <w:color w:val="FFFFFF"/>
                <w:sz w:val="15"/>
              </w:rPr>
              <w:t>CONTROL</w:t>
            </w:r>
          </w:p>
        </w:tc>
        <w:tc>
          <w:tcPr>
            <w:tcW w:type="dxa" w:w="5227"/>
            <w:shd w:fill="171717"/>
            <w:vAlign w:val="center"/>
          </w:tcPr>
          <w:p>
            <w:r/>
            <w:r>
              <w:rPr>
                <w:rFonts w:ascii="Aptos" w:hAnsi="Aptos"/>
                <w:b/>
                <w:color w:val="FFFFFF"/>
                <w:sz w:val="15"/>
              </w:rPr>
              <w:t>DETAIL</w:t>
            </w:r>
          </w:p>
        </w:tc>
      </w:tr>
      <w:tr>
        <w:tc>
          <w:tcPr>
            <w:tcW w:type="dxa" w:w="5227"/>
            <w:vAlign w:val="center"/>
          </w:tcPr>
          <w:p>
            <w:r/>
            <w:r>
              <w:rPr>
                <w:rFonts w:ascii="Aptos" w:hAnsi="Aptos"/>
                <w:b w:val="0"/>
                <w:color w:val="171717"/>
                <w:sz w:val="15"/>
              </w:rPr>
              <w:t>Approved by</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Role</w:t>
            </w:r>
          </w:p>
        </w:tc>
        <w:tc>
          <w:tcPr>
            <w:tcW w:type="dxa" w:w="5227"/>
            <w:vAlign w:val="center"/>
            <w:shd w:fill="F7F7F7"/>
          </w:tcPr>
          <w:p>
            <w:r/>
            <w:r>
              <w:rPr>
                <w:rFonts w:ascii="Aptos" w:hAnsi="Aptos"/>
                <w:b w:val="0"/>
                <w:color w:val="171717"/>
                <w:sz w:val="15"/>
              </w:rPr>
              <w:t>Founder / Principal</w:t>
            </w:r>
          </w:p>
        </w:tc>
      </w:tr>
      <w:tr>
        <w:tc>
          <w:tcPr>
            <w:tcW w:type="dxa" w:w="5227"/>
            <w:vAlign w:val="center"/>
          </w:tcPr>
          <w:p>
            <w:r/>
            <w:r>
              <w:rPr>
                <w:rFonts w:ascii="Aptos" w:hAnsi="Aptos"/>
                <w:b w:val="0"/>
                <w:color w:val="171717"/>
                <w:sz w:val="15"/>
              </w:rPr>
              <w:t>Approval date</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Effective from</w:t>
            </w:r>
          </w:p>
        </w:tc>
        <w:tc>
          <w:tcPr>
            <w:tcW w:type="dxa" w:w="5227"/>
            <w:vAlign w:val="center"/>
            <w:shd w:fill="F7F7F7"/>
          </w:tcPr>
          <w:p>
            <w:r/>
            <w:r>
              <w:rPr>
                <w:rFonts w:ascii="Aptos" w:hAnsi="Aptos"/>
                <w:b w:val="0"/>
                <w:color w:val="171717"/>
                <w:sz w:val="15"/>
              </w:rPr>
            </w:r>
          </w:p>
        </w:tc>
      </w:tr>
      <w:tr>
        <w:tc>
          <w:tcPr>
            <w:tcW w:type="dxa" w:w="5227"/>
            <w:vAlign w:val="center"/>
          </w:tcPr>
          <w:p>
            <w:r/>
            <w:r>
              <w:rPr>
                <w:rFonts w:ascii="Aptos" w:hAnsi="Aptos"/>
                <w:b w:val="0"/>
                <w:color w:val="171717"/>
                <w:sz w:val="15"/>
              </w:rPr>
              <w:t>Next planned review</w:t>
            </w:r>
          </w:p>
        </w:tc>
        <w:tc>
          <w:tcPr>
            <w:tcW w:type="dxa" w:w="5227"/>
            <w:vAlign w:val="center"/>
          </w:tcPr>
          <w:p>
            <w:r/>
            <w:r>
              <w:rPr>
                <w:rFonts w:ascii="Aptos" w:hAnsi="Aptos"/>
                <w:b w:val="0"/>
                <w:color w:val="171717"/>
                <w:sz w:val="15"/>
              </w:rPr>
            </w:r>
          </w:p>
        </w:tc>
      </w:tr>
      <w:tr>
        <w:tc>
          <w:tcPr>
            <w:tcW w:type="dxa" w:w="5227"/>
            <w:vAlign w:val="center"/>
            <w:shd w:fill="F7F7F7"/>
          </w:tcPr>
          <w:p>
            <w:r/>
            <w:r>
              <w:rPr>
                <w:rFonts w:ascii="Aptos" w:hAnsi="Aptos"/>
                <w:b w:val="0"/>
                <w:color w:val="171717"/>
                <w:sz w:val="15"/>
              </w:rPr>
              <w:t>Earlier review triggers</w:t>
            </w:r>
          </w:p>
        </w:tc>
        <w:tc>
          <w:tcPr>
            <w:tcW w:type="dxa" w:w="5227"/>
            <w:vAlign w:val="center"/>
            <w:shd w:fill="F7F7F7"/>
          </w:tcPr>
          <w:p>
            <w:r/>
            <w:r>
              <w:rPr>
                <w:rFonts w:ascii="Aptos" w:hAnsi="Aptos"/>
                <w:b w:val="0"/>
                <w:color w:val="171717"/>
                <w:sz w:val="15"/>
              </w:rPr>
              <w:t>Serious incident; bullying/safeguarding learning; updated guidance; material change to provision</w:t>
            </w:r>
          </w:p>
        </w:tc>
      </w:tr>
    </w:tbl>
    <w:p/>
    <w:p>
      <w:pPr>
        <w:pStyle w:val="Heading1"/>
      </w:pPr>
      <w:r>
        <w:t>Guidance Basis</w:t>
      </w:r>
    </w:p>
    <w:p>
      <w:r>
        <w:t>DfE guidance basis: Behaviour in Schools; Preventing and Tackling Bullying (updated 9 July 2026); Preventing and Tackling the Bullying and Harassment of School Staff (9 July 2026); and Restrictive Interventions, including Use of Reasonable Force, effective 1 April 2026.</w:t>
      </w:r>
    </w:p>
    <w:sectPr w:rsidR="00FC693F" w:rsidRPr="0006063C" w:rsidSect="00034616">
      <w:headerReference w:type="default" r:id="rId9"/>
      <w:footerReference w:type="default" r:id="rId10"/>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Inspection Portfolio 2026-27 | Controlled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B28A45"/>
        <w:sz w:val="14"/>
      </w:rPr>
      <w:t>STAGEWORKS EDUCATION | BEHAVIOUR, ANTI-BULLYING &amp; POSITIVE RELATIONSHIPS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1717"/>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28A4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7171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