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STAGE / EDUCATION</w:t>
      </w:r>
    </w:p>
    <w:p>
      <w:pPr>
        <w:jc w:val="center"/>
      </w:pPr>
      <w:r>
        <w:rPr>
          <w:b/>
          <w:color w:val="B28A45"/>
          <w:sz w:val="46"/>
        </w:rPr>
        <w:t>WHISTLEBLOWING POLICY</w:t>
      </w:r>
    </w:p>
    <w:p>
      <w:pPr>
        <w:jc w:val="center"/>
      </w:pPr>
      <w:r>
        <w:rPr>
          <w:b/>
        </w:rPr>
        <w:t>2026-27</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Speak up • Safeguard children • Raise wrongdoing • No retaliation</w:t>
            </w:r>
          </w:p>
        </w:tc>
      </w:tr>
    </w:tbl>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DOCUMENT 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Setting</w:t>
            </w:r>
          </w:p>
        </w:tc>
        <w:tc>
          <w:tcPr>
            <w:tcW w:type="dxa" w:w="5227"/>
            <w:vAlign w:val="center"/>
          </w:tcPr>
          <w:p>
            <w:r/>
            <w:r>
              <w:rPr>
                <w:rFonts w:ascii="Aptos" w:hAnsi="Aptos"/>
                <w:b w:val="0"/>
                <w:color w:val="171717"/>
                <w:sz w:val="14"/>
              </w:rPr>
              <w:t>Stageworks Education</w:t>
            </w:r>
          </w:p>
        </w:tc>
      </w:tr>
      <w:tr>
        <w:tc>
          <w:tcPr>
            <w:tcW w:type="dxa" w:w="5227"/>
            <w:vAlign w:val="center"/>
            <w:shd w:fill="F7F7F7"/>
          </w:tcPr>
          <w:p>
            <w:r/>
            <w:r>
              <w:rPr>
                <w:rFonts w:ascii="Aptos" w:hAnsi="Aptos"/>
                <w:b w:val="0"/>
                <w:color w:val="171717"/>
                <w:sz w:val="14"/>
              </w:rPr>
              <w:t>Policy owner</w:t>
            </w:r>
          </w:p>
        </w:tc>
        <w:tc>
          <w:tcPr>
            <w:tcW w:type="dxa" w:w="5227"/>
            <w:vAlign w:val="center"/>
            <w:shd w:fill="F7F7F7"/>
          </w:tcPr>
          <w:p>
            <w:r/>
            <w:r>
              <w:rPr>
                <w:rFonts w:ascii="Aptos" w:hAnsi="Aptos"/>
                <w:b w:val="0"/>
                <w:color w:val="171717"/>
                <w:sz w:val="14"/>
              </w:rPr>
              <w:t>Founder / Principal</w:t>
            </w:r>
          </w:p>
        </w:tc>
      </w:tr>
      <w:tr>
        <w:tc>
          <w:tcPr>
            <w:tcW w:type="dxa" w:w="5227"/>
            <w:vAlign w:val="center"/>
          </w:tcPr>
          <w:p>
            <w:r/>
            <w:r>
              <w:rPr>
                <w:rFonts w:ascii="Aptos" w:hAnsi="Aptos"/>
                <w:b w:val="0"/>
                <w:color w:val="171717"/>
                <w:sz w:val="14"/>
              </w:rPr>
              <w:t>Internal whistleblowing contact</w:t>
            </w:r>
          </w:p>
        </w:tc>
        <w:tc>
          <w:tcPr>
            <w:tcW w:type="dxa" w:w="5227"/>
            <w:vAlign w:val="center"/>
          </w:tcPr>
          <w:p>
            <w:r>
              <w:t>Emma Hobbis, Founder / Principal and Designated Whistleblowing Person</w:t>
            </w:r>
          </w:p>
        </w:tc>
      </w:tr>
      <w:tr>
        <w:tc>
          <w:tcPr>
            <w:tcW w:type="dxa" w:w="5227"/>
            <w:vAlign w:val="center"/>
            <w:shd w:fill="F7F7F7"/>
          </w:tcPr>
          <w:p>
            <w:r>
              <w:t>Designated Whistleblowing Person</w:t>
            </w:r>
          </w:p>
        </w:tc>
        <w:tc>
          <w:tcPr>
            <w:tcW w:type="dxa" w:w="5227"/>
            <w:vAlign w:val="center"/>
            <w:shd w:fill="F7F7F7"/>
          </w:tcPr>
          <w:p>
            <w:r>
              <w:t>Emma Hobbis, Founder / Principal</w:t>
            </w:r>
          </w:p>
        </w:tc>
      </w:tr>
      <w:tr>
        <w:tc>
          <w:tcPr>
            <w:tcW w:type="dxa" w:w="5227"/>
            <w:vAlign w:val="center"/>
          </w:tcPr>
          <w:p>
            <w:r/>
            <w:r>
              <w:rPr>
                <w:rFonts w:ascii="Aptos" w:hAnsi="Aptos"/>
                <w:b w:val="0"/>
                <w:color w:val="171717"/>
                <w:sz w:val="14"/>
              </w:rPr>
              <w:t>DSL / Deputy DSL</w:t>
            </w:r>
          </w:p>
        </w:tc>
        <w:tc>
          <w:tcPr>
            <w:tcW w:type="dxa" w:w="5227"/>
            <w:vAlign w:val="center"/>
          </w:tcPr>
          <w:p>
            <w:r/>
            <w:r>
              <w:rPr>
                <w:rFonts w:ascii="Aptos" w:hAnsi="Aptos"/>
                <w:b w:val="0"/>
                <w:color w:val="171717"/>
                <w:sz w:val="14"/>
              </w:rPr>
              <w:t>See current Safeguarding file</w:t>
            </w:r>
          </w:p>
        </w:tc>
      </w:tr>
      <w:tr>
        <w:tc>
          <w:tcPr>
            <w:tcW w:type="dxa" w:w="5227"/>
            <w:vAlign w:val="center"/>
            <w:shd w:fill="F7F7F7"/>
          </w:tcPr>
          <w:p>
            <w:r/>
            <w:r>
              <w:rPr>
                <w:rFonts w:ascii="Aptos" w:hAnsi="Aptos"/>
                <w:b w:val="0"/>
                <w:color w:val="171717"/>
                <w:sz w:val="14"/>
              </w:rPr>
              <w:t>Applies to</w:t>
            </w:r>
          </w:p>
        </w:tc>
        <w:tc>
          <w:tcPr>
            <w:tcW w:type="dxa" w:w="5227"/>
            <w:vAlign w:val="center"/>
            <w:shd w:fill="F7F7F7"/>
          </w:tcPr>
          <w:p>
            <w:r/>
            <w:r>
              <w:rPr>
                <w:rFonts w:ascii="Aptos" w:hAnsi="Aptos"/>
                <w:b w:val="0"/>
                <w:color w:val="171717"/>
                <w:sz w:val="14"/>
              </w:rPr>
              <w:t>Employees, workers, agency/temporary workers, trainees, and all other adults encouraged to raise concerns; statutory whistleblowing protection depends on individual legal status</w:t>
            </w:r>
          </w:p>
        </w:tc>
      </w:tr>
      <w:tr>
        <w:tc>
          <w:tcPr>
            <w:tcW w:type="dxa" w:w="5227"/>
            <w:vAlign w:val="center"/>
          </w:tcPr>
          <w:p>
            <w:r/>
            <w:r>
              <w:rPr>
                <w:rFonts w:ascii="Aptos" w:hAnsi="Aptos"/>
                <w:b w:val="0"/>
                <w:color w:val="171717"/>
                <w:sz w:val="14"/>
              </w:rPr>
              <w:t>Related documents</w:t>
            </w:r>
          </w:p>
        </w:tc>
        <w:tc>
          <w:tcPr>
            <w:tcW w:type="dxa" w:w="5227"/>
            <w:vAlign w:val="center"/>
          </w:tcPr>
          <w:p>
            <w:r/>
            <w:r>
              <w:rPr>
                <w:rFonts w:ascii="Aptos" w:hAnsi="Aptos"/>
                <w:b w:val="0"/>
                <w:color w:val="171717"/>
                <w:sz w:val="14"/>
              </w:rPr>
              <w:t>Safeguarding; Allegations Against Staff &amp; Low-Level Concerns; Staff Code of Conduct; Safer Recruitment; Health &amp; Safety; Complaints; Grievance/disciplinary arrangements</w:t>
            </w:r>
          </w:p>
        </w:tc>
      </w:tr>
      <w:tr>
        <w:tc>
          <w:tcPr>
            <w:tcW w:type="dxa" w:w="5227"/>
            <w:vAlign w:val="center"/>
            <w:shd w:fill="F7F7F7"/>
          </w:tcPr>
          <w:p>
            <w:r/>
            <w:r>
              <w:rPr>
                <w:rFonts w:ascii="Aptos" w:hAnsi="Aptos"/>
                <w:b w:val="0"/>
                <w:color w:val="171717"/>
                <w:sz w:val="14"/>
              </w:rPr>
              <w:t>Review</w:t>
            </w:r>
          </w:p>
        </w:tc>
        <w:tc>
          <w:tcPr>
            <w:tcW w:type="dxa" w:w="5227"/>
            <w:vAlign w:val="center"/>
            <w:shd w:fill="F7F7F7"/>
          </w:tcPr>
          <w:p>
            <w:r/>
            <w:r>
              <w:rPr>
                <w:rFonts w:ascii="Aptos" w:hAnsi="Aptos"/>
                <w:b w:val="0"/>
                <w:color w:val="171717"/>
                <w:sz w:val="14"/>
              </w:rPr>
              <w:t>At least annually and after any whistleblowing case, safeguarding learning, legal/guidance change or governance change</w:t>
            </w:r>
          </w:p>
        </w:tc>
      </w:tr>
      <w:tr>
        <w:tc>
          <w:tcPr>
            <w:tcW w:type="dxa" w:w="5227"/>
            <w:vAlign w:val="center"/>
          </w:tcPr>
          <w:p>
            <w:r/>
            <w:r>
              <w:rPr>
                <w:rFonts w:ascii="Aptos" w:hAnsi="Aptos"/>
                <w:b w:val="0"/>
                <w:color w:val="171717"/>
                <w:sz w:val="14"/>
              </w:rPr>
              <w:t>Guidance basis</w:t>
            </w:r>
          </w:p>
        </w:tc>
        <w:tc>
          <w:tcPr>
            <w:tcW w:type="dxa" w:w="5227"/>
            <w:vAlign w:val="center"/>
          </w:tcPr>
          <w:p>
            <w:r/>
            <w:r>
              <w:rPr>
                <w:rFonts w:ascii="Aptos" w:hAnsi="Aptos"/>
                <w:b w:val="0"/>
                <w:color w:val="171717"/>
                <w:sz w:val="14"/>
              </w:rPr>
              <w:t>Employment Rights Act 1996 / Public Interest Disclosure framework; KCSIE 2026 effective 1 September 2026</w:t>
            </w:r>
          </w:p>
        </w:tc>
      </w:tr>
    </w:tbl>
    <w:p/>
    <w:p>
      <w:r>
        <w:br w:type="page"/>
      </w:r>
    </w:p>
    <w:p>
      <w:pPr>
        <w:pStyle w:val="Heading1"/>
      </w:pPr>
      <w:r>
        <w:t>1. Purpose &amp; Culture</w:t>
      </w:r>
    </w:p>
    <w:p>
      <w:r>
        <w:t>Stageworks Education wants every member of staff to feel able to speak up about wrongdoing, unsafe practice or failures that could affect children, staff, the organisation or the wider public. Genuine concerns will be taken seriously and a person raising a concern should not suffer retaliation for doing so.</w:t>
      </w:r>
    </w:p>
    <w:p>
      <w:pPr>
        <w:spacing w:after="40"/>
      </w:pPr>
      <w:r>
        <w:t xml:space="preserve">• </w:t>
      </w:r>
      <w:r>
        <w:t>Safeguarding is everyone's responsibility.</w:t>
      </w:r>
    </w:p>
    <w:p>
      <w:pPr>
        <w:spacing w:after="40"/>
      </w:pPr>
      <w:r>
        <w:t xml:space="preserve">• </w:t>
      </w:r>
      <w:r>
        <w:t>Concerns should be raised as early as possible.</w:t>
      </w:r>
    </w:p>
    <w:p>
      <w:pPr>
        <w:spacing w:after="40"/>
      </w:pPr>
      <w:r>
        <w:t xml:space="preserve">• </w:t>
      </w:r>
      <w:r>
        <w:t>A whistleblower does not need to prove wrongdoing before raising a genuine concern.</w:t>
      </w:r>
    </w:p>
    <w:p>
      <w:pPr>
        <w:spacing w:after="40"/>
      </w:pPr>
      <w:r>
        <w:t xml:space="preserve">• </w:t>
      </w:r>
      <w:r>
        <w:t>Stageworks will distinguish whistleblowing from a personal grievance, complaint or routine safeguarding report.</w:t>
      </w:r>
    </w:p>
    <w:p>
      <w:pPr>
        <w:spacing w:after="40"/>
      </w:pPr>
      <w:r>
        <w:t xml:space="preserve">• </w:t>
      </w:r>
      <w:r>
        <w:t>Confidentiality will be respected as far as reasonably possible, but absolute secrecy cannot be guaranteed where action or legal disclosure is required.</w:t>
      </w:r>
    </w:p>
    <w:p>
      <w:pPr>
        <w:spacing w:after="40"/>
      </w:pPr>
      <w:r>
        <w:t xml:space="preserve">• </w:t>
      </w:r>
      <w:r>
        <w:t>Knowingly malicious or deliberately false allegations may be addressed under conduct procedures; an honest concern that is not substantiated will not be treated as misconduct merely because it was mistaken.</w:t>
      </w:r>
    </w:p>
    <w:p>
      <w:pPr>
        <w:pStyle w:val="Heading1"/>
      </w:pPr>
      <w:r>
        <w:t>2. What Is Whistleblowing?</w:t>
      </w:r>
    </w:p>
    <w:p>
      <w:r>
        <w:t>In law, whistleblowing generally means a worker disclosing information about certain wrongdoing which they reasonably believe is in the public interest. Legal protection is commonly referred to as protection for a 'protected disclosure'. Whether a disclosure is legally protected ultimately depends on the statutory tests and individual circumstances.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POTENTIAL WRONGDOING</w:t>
            </w:r>
          </w:p>
        </w:tc>
        <w:tc>
          <w:tcPr>
            <w:tcW w:type="dxa" w:w="5227"/>
            <w:shd w:fill="171717"/>
            <w:vAlign w:val="center"/>
          </w:tcPr>
          <w:p>
            <w:r/>
            <w:r>
              <w:rPr>
                <w:rFonts w:ascii="Aptos" w:hAnsi="Aptos"/>
                <w:b/>
                <w:color w:val="FFFFFF"/>
                <w:sz w:val="14"/>
              </w:rPr>
              <w:t>EXAMPLES RELEVANT TO STAGEWORKS</w:t>
            </w:r>
          </w:p>
        </w:tc>
      </w:tr>
      <w:tr>
        <w:tc>
          <w:tcPr>
            <w:tcW w:type="dxa" w:w="5227"/>
            <w:vAlign w:val="center"/>
          </w:tcPr>
          <w:p>
            <w:r/>
            <w:r>
              <w:rPr>
                <w:rFonts w:ascii="Aptos" w:hAnsi="Aptos"/>
                <w:b w:val="0"/>
                <w:color w:val="171717"/>
                <w:sz w:val="14"/>
              </w:rPr>
              <w:t>Criminal offence</w:t>
            </w:r>
          </w:p>
        </w:tc>
        <w:tc>
          <w:tcPr>
            <w:tcW w:type="dxa" w:w="5227"/>
            <w:vAlign w:val="center"/>
          </w:tcPr>
          <w:p>
            <w:r/>
            <w:r>
              <w:rPr>
                <w:rFonts w:ascii="Aptos" w:hAnsi="Aptos"/>
                <w:b w:val="0"/>
                <w:color w:val="171717"/>
                <w:sz w:val="14"/>
              </w:rPr>
              <w:t>Fraud, theft, deliberate falsification, safeguarding-related criminal conduct.</w:t>
            </w:r>
          </w:p>
        </w:tc>
      </w:tr>
      <w:tr>
        <w:tc>
          <w:tcPr>
            <w:tcW w:type="dxa" w:w="5227"/>
            <w:vAlign w:val="center"/>
            <w:shd w:fill="F7F7F7"/>
          </w:tcPr>
          <w:p>
            <w:r/>
            <w:r>
              <w:rPr>
                <w:rFonts w:ascii="Aptos" w:hAnsi="Aptos"/>
                <w:b w:val="0"/>
                <w:color w:val="171717"/>
                <w:sz w:val="14"/>
              </w:rPr>
              <w:t>Danger to health or safety</w:t>
            </w:r>
          </w:p>
        </w:tc>
        <w:tc>
          <w:tcPr>
            <w:tcW w:type="dxa" w:w="5227"/>
            <w:vAlign w:val="center"/>
            <w:shd w:fill="F7F7F7"/>
          </w:tcPr>
          <w:p>
            <w:r/>
            <w:r>
              <w:rPr>
                <w:rFonts w:ascii="Aptos" w:hAnsi="Aptos"/>
                <w:b w:val="0"/>
                <w:color w:val="171717"/>
                <w:sz w:val="14"/>
              </w:rPr>
              <w:t>Known unsafe equipment, serious fire-safety failures, deliberately ignored risk, unsafe staffing.</w:t>
            </w:r>
          </w:p>
        </w:tc>
      </w:tr>
      <w:tr>
        <w:tc>
          <w:tcPr>
            <w:tcW w:type="dxa" w:w="5227"/>
            <w:vAlign w:val="center"/>
          </w:tcPr>
          <w:p>
            <w:r/>
            <w:r>
              <w:rPr>
                <w:rFonts w:ascii="Aptos" w:hAnsi="Aptos"/>
                <w:b w:val="0"/>
                <w:color w:val="171717"/>
                <w:sz w:val="14"/>
              </w:rPr>
              <w:t>Breach of legal obligation</w:t>
            </w:r>
          </w:p>
        </w:tc>
        <w:tc>
          <w:tcPr>
            <w:tcW w:type="dxa" w:w="5227"/>
            <w:vAlign w:val="center"/>
          </w:tcPr>
          <w:p>
            <w:r/>
            <w:r>
              <w:rPr>
                <w:rFonts w:ascii="Aptos" w:hAnsi="Aptos"/>
                <w:b w:val="0"/>
                <w:color w:val="171717"/>
                <w:sz w:val="14"/>
              </w:rPr>
              <w:t>Knowingly failing to carry out required safeguarding, employment, data or regulatory duties.</w:t>
            </w:r>
          </w:p>
        </w:tc>
      </w:tr>
      <w:tr>
        <w:tc>
          <w:tcPr>
            <w:tcW w:type="dxa" w:w="5227"/>
            <w:vAlign w:val="center"/>
            <w:shd w:fill="F7F7F7"/>
          </w:tcPr>
          <w:p>
            <w:r/>
            <w:r>
              <w:rPr>
                <w:rFonts w:ascii="Aptos" w:hAnsi="Aptos"/>
                <w:b w:val="0"/>
                <w:color w:val="171717"/>
                <w:sz w:val="14"/>
              </w:rPr>
              <w:t>Miscarriage of justice</w:t>
            </w:r>
          </w:p>
        </w:tc>
        <w:tc>
          <w:tcPr>
            <w:tcW w:type="dxa" w:w="5227"/>
            <w:vAlign w:val="center"/>
            <w:shd w:fill="F7F7F7"/>
          </w:tcPr>
          <w:p>
            <w:r/>
            <w:r>
              <w:rPr>
                <w:rFonts w:ascii="Aptos" w:hAnsi="Aptos"/>
                <w:b w:val="0"/>
                <w:color w:val="171717"/>
                <w:sz w:val="14"/>
              </w:rPr>
              <w:t>Improper interference with evidence or a serious process.</w:t>
            </w:r>
          </w:p>
        </w:tc>
      </w:tr>
      <w:tr>
        <w:tc>
          <w:tcPr>
            <w:tcW w:type="dxa" w:w="5227"/>
            <w:vAlign w:val="center"/>
          </w:tcPr>
          <w:p>
            <w:r/>
            <w:r>
              <w:rPr>
                <w:rFonts w:ascii="Aptos" w:hAnsi="Aptos"/>
                <w:b w:val="0"/>
                <w:color w:val="171717"/>
                <w:sz w:val="14"/>
              </w:rPr>
              <w:t>Environmental damage</w:t>
            </w:r>
          </w:p>
        </w:tc>
        <w:tc>
          <w:tcPr>
            <w:tcW w:type="dxa" w:w="5227"/>
            <w:vAlign w:val="center"/>
          </w:tcPr>
          <w:p>
            <w:r/>
            <w:r>
              <w:rPr>
                <w:rFonts w:ascii="Aptos" w:hAnsi="Aptos"/>
                <w:b w:val="0"/>
                <w:color w:val="171717"/>
                <w:sz w:val="14"/>
              </w:rPr>
              <w:t>Serious unlawful or unsafe environmental practice.</w:t>
            </w:r>
          </w:p>
        </w:tc>
      </w:tr>
      <w:tr>
        <w:tc>
          <w:tcPr>
            <w:tcW w:type="dxa" w:w="5227"/>
            <w:vAlign w:val="center"/>
            <w:shd w:fill="F7F7F7"/>
          </w:tcPr>
          <w:p>
            <w:r/>
            <w:r>
              <w:rPr>
                <w:rFonts w:ascii="Aptos" w:hAnsi="Aptos"/>
                <w:b w:val="0"/>
                <w:color w:val="171717"/>
                <w:sz w:val="14"/>
              </w:rPr>
              <w:t>Covering up wrongdoing</w:t>
            </w:r>
          </w:p>
        </w:tc>
        <w:tc>
          <w:tcPr>
            <w:tcW w:type="dxa" w:w="5227"/>
            <w:vAlign w:val="center"/>
            <w:shd w:fill="F7F7F7"/>
          </w:tcPr>
          <w:p>
            <w:r/>
            <w:r>
              <w:rPr>
                <w:rFonts w:ascii="Aptos" w:hAnsi="Aptos"/>
                <w:b w:val="0"/>
                <w:color w:val="171717"/>
                <w:sz w:val="14"/>
              </w:rPr>
              <w:t>Destroying records, pressuring staff not to report, concealing safeguarding or safety failures.</w:t>
            </w:r>
          </w:p>
        </w:tc>
      </w:tr>
      <w:tr>
        <w:tc>
          <w:tcPr>
            <w:tcW w:type="dxa" w:w="5227"/>
            <w:vAlign w:val="center"/>
          </w:tcPr>
          <w:p>
            <w:r/>
            <w:r>
              <w:rPr>
                <w:rFonts w:ascii="Aptos" w:hAnsi="Aptos"/>
                <w:b w:val="0"/>
                <w:color w:val="171717"/>
                <w:sz w:val="14"/>
              </w:rPr>
              <w:t>Sexual harassment / serious misconduct</w:t>
            </w:r>
          </w:p>
        </w:tc>
        <w:tc>
          <w:tcPr>
            <w:tcW w:type="dxa" w:w="5227"/>
            <w:vAlign w:val="center"/>
          </w:tcPr>
          <w:p>
            <w:r/>
            <w:r>
              <w:rPr>
                <w:rFonts w:ascii="Aptos" w:hAnsi="Aptos"/>
                <w:b w:val="0"/>
                <w:color w:val="171717"/>
                <w:sz w:val="14"/>
              </w:rPr>
              <w:t>Conduct that may qualify under whistleblowing law where the legal public-interest and other tests are met.</w:t>
            </w:r>
          </w:p>
        </w:tc>
      </w:tr>
    </w:tbl>
    <w:p/>
    <w:p>
      <w:pPr>
        <w:pStyle w:val="Heading1"/>
      </w:pPr>
      <w:r>
        <w:t>3. Safeguarding Whistleblowing</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A CHILD'S IMMEDIATE SAFETY TAKES PRIORITY OVER THE WHISTLEBLOWING PROCESS</w:t>
            </w:r>
          </w:p>
        </w:tc>
      </w:tr>
    </w:tbl>
    <w:p/>
    <w:p>
      <w:r>
        <w:t>KCSIE expects staff and volunteers to feel able to raise concerns about poor or unsafe safeguarding practice and potential failures in safeguarding provision. A safeguarding concern about a child should be reported immediately through the Safeguarding Policy. A concern about an adult should follow the Allegations/Low-Level Concerns procedure. Whistleblowing is particularly important where the concern is about the organisation's safeguarding practice, senior leadership, a cover-up, or where normal internal safeguarding routes cannot safely be used.</w:t>
      </w:r>
    </w:p>
    <w:p>
      <w:pPr>
        <w:spacing w:after="40"/>
      </w:pPr>
      <w:r>
        <w:t xml:space="preserve">• </w:t>
      </w:r>
      <w:r>
        <w:t>If a child is in immediate danger, use emergency safeguarding procedures without delay.</w:t>
      </w:r>
    </w:p>
    <w:p>
      <w:pPr>
        <w:spacing w:after="40"/>
      </w:pPr>
      <w:r>
        <w:t xml:space="preserve">• </w:t>
      </w:r>
      <w:r>
        <w:t>Do not wait for a whistleblowing meeting before reporting an immediate child-protection concern.</w:t>
      </w:r>
    </w:p>
    <w:p>
      <w:pPr>
        <w:spacing w:after="40"/>
      </w:pPr>
      <w:r>
        <w:t xml:space="preserve">• </w:t>
      </w:r>
      <w:r>
        <w:t>Do not investigate suspected abuse or staff allegations yourself.</w:t>
      </w:r>
    </w:p>
    <w:p>
      <w:pPr>
        <w:spacing w:after="40"/>
      </w:pPr>
      <w:r>
        <w:t xml:space="preserve">• </w:t>
      </w:r>
      <w:r>
        <w:t>Preserve relevant records/evidence and report factually.</w:t>
      </w:r>
    </w:p>
    <w:p>
      <w:r>
        <w:br w:type="page"/>
      </w:r>
    </w:p>
    <w:p>
      <w:pPr>
        <w:pStyle w:val="Heading1"/>
      </w:pPr>
      <w:r>
        <w:t>4. Whistleblowing vs Other Procedures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ISSUE</w:t>
            </w:r>
          </w:p>
        </w:tc>
        <w:tc>
          <w:tcPr>
            <w:tcW w:type="dxa" w:w="5227"/>
            <w:shd w:fill="171717"/>
            <w:vAlign w:val="center"/>
          </w:tcPr>
          <w:p>
            <w:r/>
            <w:r>
              <w:rPr>
                <w:rFonts w:ascii="Aptos" w:hAnsi="Aptos"/>
                <w:b/>
                <w:color w:val="FFFFFF"/>
                <w:sz w:val="14"/>
              </w:rPr>
              <w:t>USUALLY USE</w:t>
            </w:r>
          </w:p>
        </w:tc>
      </w:tr>
      <w:tr>
        <w:tc>
          <w:tcPr>
            <w:tcW w:type="dxa" w:w="5227"/>
            <w:vAlign w:val="center"/>
          </w:tcPr>
          <w:p>
            <w:r/>
            <w:r>
              <w:rPr>
                <w:rFonts w:ascii="Aptos" w:hAnsi="Aptos"/>
                <w:b w:val="0"/>
                <w:color w:val="171717"/>
                <w:sz w:val="14"/>
              </w:rPr>
              <w:t>Concern a child may be abused, neglected or at risk</w:t>
            </w:r>
          </w:p>
        </w:tc>
        <w:tc>
          <w:tcPr>
            <w:tcW w:type="dxa" w:w="5227"/>
            <w:vAlign w:val="center"/>
          </w:tcPr>
          <w:p>
            <w:r/>
            <w:r>
              <w:rPr>
                <w:rFonts w:ascii="Aptos" w:hAnsi="Aptos"/>
                <w:b w:val="0"/>
                <w:color w:val="171717"/>
                <w:sz w:val="14"/>
              </w:rPr>
              <w:t>Safeguarding / DSL procedure.</w:t>
            </w:r>
          </w:p>
        </w:tc>
      </w:tr>
      <w:tr>
        <w:tc>
          <w:tcPr>
            <w:tcW w:type="dxa" w:w="5227"/>
            <w:vAlign w:val="center"/>
            <w:shd w:fill="F7F7F7"/>
          </w:tcPr>
          <w:p>
            <w:r/>
            <w:r>
              <w:rPr>
                <w:rFonts w:ascii="Aptos" w:hAnsi="Aptos"/>
                <w:b w:val="0"/>
                <w:color w:val="171717"/>
                <w:sz w:val="14"/>
              </w:rPr>
              <w:t>Concern about behaviour of a staff member or adult</w:t>
            </w:r>
          </w:p>
        </w:tc>
        <w:tc>
          <w:tcPr>
            <w:tcW w:type="dxa" w:w="5227"/>
            <w:vAlign w:val="center"/>
            <w:shd w:fill="F7F7F7"/>
          </w:tcPr>
          <w:p>
            <w:r/>
            <w:r>
              <w:rPr>
                <w:rFonts w:ascii="Aptos" w:hAnsi="Aptos"/>
                <w:b w:val="0"/>
                <w:color w:val="171717"/>
                <w:sz w:val="14"/>
              </w:rPr>
              <w:t>Allegations Against Staff &amp; Low-Level Concerns procedure; LADO route where appropriate.</w:t>
            </w:r>
          </w:p>
        </w:tc>
      </w:tr>
      <w:tr>
        <w:tc>
          <w:tcPr>
            <w:tcW w:type="dxa" w:w="5227"/>
            <w:vAlign w:val="center"/>
          </w:tcPr>
          <w:p>
            <w:r/>
            <w:r>
              <w:rPr>
                <w:rFonts w:ascii="Aptos" w:hAnsi="Aptos"/>
                <w:b w:val="0"/>
                <w:color w:val="171717"/>
                <w:sz w:val="14"/>
              </w:rPr>
              <w:t>Wrongdoing / unsafe practice in the public interest</w:t>
            </w:r>
          </w:p>
        </w:tc>
        <w:tc>
          <w:tcPr>
            <w:tcW w:type="dxa" w:w="5227"/>
            <w:vAlign w:val="center"/>
          </w:tcPr>
          <w:p>
            <w:r/>
            <w:r>
              <w:rPr>
                <w:rFonts w:ascii="Aptos" w:hAnsi="Aptos"/>
                <w:b w:val="0"/>
                <w:color w:val="171717"/>
                <w:sz w:val="14"/>
              </w:rPr>
              <w:t>Whistleblowing procedure.</w:t>
            </w:r>
          </w:p>
        </w:tc>
      </w:tr>
      <w:tr>
        <w:tc>
          <w:tcPr>
            <w:tcW w:type="dxa" w:w="5227"/>
            <w:vAlign w:val="center"/>
            <w:shd w:fill="F7F7F7"/>
          </w:tcPr>
          <w:p>
            <w:r/>
            <w:r>
              <w:rPr>
                <w:rFonts w:ascii="Aptos" w:hAnsi="Aptos"/>
                <w:b w:val="0"/>
                <w:color w:val="171717"/>
                <w:sz w:val="14"/>
              </w:rPr>
              <w:t>Personal employment complaint affecting mainly the individual</w:t>
            </w:r>
          </w:p>
        </w:tc>
        <w:tc>
          <w:tcPr>
            <w:tcW w:type="dxa" w:w="5227"/>
            <w:vAlign w:val="center"/>
            <w:shd w:fill="F7F7F7"/>
          </w:tcPr>
          <w:p>
            <w:r/>
            <w:r>
              <w:rPr>
                <w:rFonts w:ascii="Aptos" w:hAnsi="Aptos"/>
                <w:b w:val="0"/>
                <w:color w:val="171717"/>
                <w:sz w:val="14"/>
              </w:rPr>
              <w:t>Grievance / management procedure.</w:t>
            </w:r>
          </w:p>
        </w:tc>
      </w:tr>
      <w:tr>
        <w:tc>
          <w:tcPr>
            <w:tcW w:type="dxa" w:w="5227"/>
            <w:vAlign w:val="center"/>
          </w:tcPr>
          <w:p>
            <w:r/>
            <w:r>
              <w:rPr>
                <w:rFonts w:ascii="Aptos" w:hAnsi="Aptos"/>
                <w:b w:val="0"/>
                <w:color w:val="171717"/>
                <w:sz w:val="14"/>
              </w:rPr>
              <w:t>Parent/pupil dissatisfaction with service</w:t>
            </w:r>
          </w:p>
        </w:tc>
        <w:tc>
          <w:tcPr>
            <w:tcW w:type="dxa" w:w="5227"/>
            <w:vAlign w:val="center"/>
          </w:tcPr>
          <w:p>
            <w:r/>
            <w:r>
              <w:rPr>
                <w:rFonts w:ascii="Aptos" w:hAnsi="Aptos"/>
                <w:b w:val="0"/>
                <w:color w:val="171717"/>
                <w:sz w:val="14"/>
              </w:rPr>
              <w:t>Complaints procedure.</w:t>
            </w:r>
          </w:p>
        </w:tc>
      </w:tr>
      <w:tr>
        <w:tc>
          <w:tcPr>
            <w:tcW w:type="dxa" w:w="5227"/>
            <w:vAlign w:val="center"/>
            <w:shd w:fill="F7F7F7"/>
          </w:tcPr>
          <w:p>
            <w:r/>
            <w:r>
              <w:rPr>
                <w:rFonts w:ascii="Aptos" w:hAnsi="Aptos"/>
                <w:b w:val="0"/>
                <w:color w:val="171717"/>
                <w:sz w:val="14"/>
              </w:rPr>
              <w:t>Immediate danger or suspected crime</w:t>
            </w:r>
          </w:p>
        </w:tc>
        <w:tc>
          <w:tcPr>
            <w:tcW w:type="dxa" w:w="5227"/>
            <w:vAlign w:val="center"/>
            <w:shd w:fill="F7F7F7"/>
          </w:tcPr>
          <w:p>
            <w:r/>
            <w:r>
              <w:rPr>
                <w:rFonts w:ascii="Aptos" w:hAnsi="Aptos"/>
                <w:b w:val="0"/>
                <w:color w:val="171717"/>
                <w:sz w:val="14"/>
              </w:rPr>
              <w:t>Emergency services / police as appropriate, alongside safeguarding reporting.</w:t>
            </w:r>
          </w:p>
        </w:tc>
      </w:tr>
    </w:tbl>
    <w:p/>
    <w:p>
      <w:r>
        <w:t>The routes can overlap. Stageworks will not reject a serious concern simply because the reporter used the wrong label or form.</w:t>
      </w:r>
    </w:p>
    <w:p>
      <w:pPr>
        <w:pStyle w:val="Heading1"/>
      </w:pPr>
      <w:r>
        <w:t>5. Who Can Raise a Concern?</w:t>
      </w:r>
    </w:p>
    <w:p>
      <w:r>
        <w:t>Stageworks encourages employees, workers, agency staff, contractors, volunteers, trainees and visiting practitioners to raise genuine concerns. However, statutory protection under whistleblowing law applies to defined categories of workers and depends on the circumstances of the disclosure. Volunteers may not have the same statutory employment protection and should seek independent advice if needed.</w:t>
      </w:r>
    </w:p>
    <w:p>
      <w:pPr>
        <w:pStyle w:val="Heading1"/>
      </w:pPr>
      <w:r>
        <w:t>6. Internal Reporting Route</w:t>
      </w:r>
    </w:p>
    <w:p>
      <w:r>
        <w:t>1. Raise the concern with Emma Hobbis, Founder / Principal and Designated Whistleblowing Person, where appropriate.</w:t>
      </w:r>
    </w:p>
    <w:p>
      <w:r>
        <w:t>2. If the concern relates to Emma Hobbis, or the reporter reasonably believes that route cannot safely or impartially be used, the concern must not be handled by Emma Hobbis and an alternative independent/external route must be used.</w:t>
      </w:r>
    </w:p>
    <w:p>
      <w:r>
        <w:t>3. State that you are raising a whistleblowing concern where possible.</w:t>
      </w:r>
    </w:p>
    <w:p>
      <w:r>
        <w:t>4. Explain the facts, dates, people involved, why you are concerned and any immediate risk.</w:t>
      </w:r>
    </w:p>
    <w:p>
      <w:r>
        <w:t>5. Provide relevant documents/evidence without unlawfully accessing, removing or altering records.</w:t>
      </w:r>
    </w:p>
    <w:p>
      <w:r>
        <w:t>6. Say immediately if you request confidentiality.</w:t>
      </w:r>
    </w:p>
    <w:p>
      <w:r>
        <w:t>Emma Hobbis is the Designated Whistleblowing Person for Stageworks Education. Because no person should manage a whistleblowing concern about themselves, concerns involving Emma Hobbis must use an appropriate independent/external route. Stageworks will keep the relevant safeguarding, LADO and prescribed-person contact routes available to staff.</w:t>
      </w:r>
    </w:p>
    <w:p>
      <w:pPr>
        <w:pStyle w:val="Heading1"/>
      </w:pPr>
      <w:r>
        <w:t>7. Raising a Concern Verbally or in Writing</w:t>
      </w:r>
    </w:p>
    <w:p>
      <w:pPr>
        <w:spacing w:after="40"/>
      </w:pPr>
      <w:r>
        <w:t xml:space="preserve">• </w:t>
      </w:r>
      <w:r>
        <w:t>Concerns may be raised verbally or in writing.</w:t>
      </w:r>
    </w:p>
    <w:p>
      <w:pPr>
        <w:spacing w:after="40"/>
      </w:pPr>
      <w:r>
        <w:t xml:space="preserve">• </w:t>
      </w:r>
      <w:r>
        <w:t>A written record is encouraged for clarity.</w:t>
      </w:r>
    </w:p>
    <w:p>
      <w:pPr>
        <w:spacing w:after="40"/>
      </w:pPr>
      <w:r>
        <w:t xml:space="preserve">• </w:t>
      </w:r>
      <w:r>
        <w:t>If raised verbally, the recipient should create a factual written record and ask the whistleblower to confirm accuracy where practicable.</w:t>
      </w:r>
    </w:p>
    <w:p>
      <w:pPr>
        <w:spacing w:after="40"/>
      </w:pPr>
      <w:r>
        <w:t xml:space="preserve">• </w:t>
      </w:r>
      <w:r>
        <w:t>Do not exaggerate or speculate; distinguish what you know, observed, were told and believe.</w:t>
      </w:r>
    </w:p>
    <w:p>
      <w:pPr>
        <w:spacing w:after="40"/>
      </w:pPr>
      <w:r>
        <w:t xml:space="preserve">• </w:t>
      </w:r>
      <w:r>
        <w:t>Keep your own lawful record of when and to whom you raised the concern.</w:t>
      </w:r>
    </w:p>
    <w:p>
      <w:pPr>
        <w:pStyle w:val="Heading1"/>
      </w:pPr>
      <w:r>
        <w:t>8. Anonymous &amp; Confidential Concerns</w:t>
      </w:r>
    </w:p>
    <w:p>
      <w:r>
        <w:t>A concern may be raised anonymously, but anonymity can make investigation and feedback more difficult. A person may instead provide their identity and request confidentiality. Stageworks will make reasonable efforts to protect identity, while explaining that disclosure may become necessary for safeguarding, legal, regulatory, police or fair-process reasons.</w:t>
      </w:r>
    </w:p>
    <w:p>
      <w:pPr>
        <w:spacing w:after="40"/>
      </w:pPr>
      <w:r>
        <w:t xml:space="preserve">• </w:t>
      </w:r>
      <w:r>
        <w:t>Never promise absolute confidentiality.</w:t>
      </w:r>
    </w:p>
    <w:p>
      <w:pPr>
        <w:spacing w:after="40"/>
      </w:pPr>
      <w:r>
        <w:t xml:space="preserve">• </w:t>
      </w:r>
      <w:r>
        <w:t>Do not attempt to identify an anonymous whistleblower merely because they raised a concern.</w:t>
      </w:r>
    </w:p>
    <w:p>
      <w:pPr>
        <w:spacing w:after="40"/>
      </w:pPr>
      <w:r>
        <w:t xml:space="preserve">• </w:t>
      </w:r>
      <w:r>
        <w:t>Retaliation or attempts to intimidate a reporter are unacceptable.</w:t>
      </w:r>
    </w:p>
    <w:p>
      <w:r>
        <w:br w:type="page"/>
      </w:r>
    </w:p>
    <w:p>
      <w:pPr>
        <w:pStyle w:val="Heading1"/>
      </w:pPr>
      <w:r>
        <w:t>9. How Stageworks Will Respond</w:t>
      </w:r>
    </w:p>
    <w:p>
      <w:pPr>
        <w:spacing w:after="40"/>
      </w:pPr>
      <w:r>
        <w:rPr>
          <w:rFonts w:ascii="Arial" w:hAnsi="Arial"/>
        </w:rPr>
        <w:t xml:space="preserve">☐ </w:t>
      </w:r>
      <w:r>
        <w:t>Acknowledge the concern as soon as reasonably practicable.</w:t>
      </w:r>
    </w:p>
    <w:p>
      <w:pPr>
        <w:spacing w:after="40"/>
      </w:pPr>
      <w:r>
        <w:rPr>
          <w:rFonts w:ascii="Arial" w:hAnsi="Arial"/>
        </w:rPr>
        <w:t xml:space="preserve">☐ </w:t>
      </w:r>
      <w:r>
        <w:t>Assess immediate safeguarding, safety, criminal, regulatory or evidence-preservation needs.</w:t>
      </w:r>
    </w:p>
    <w:p>
      <w:pPr>
        <w:spacing w:after="40"/>
      </w:pPr>
      <w:r>
        <w:rPr>
          <w:rFonts w:ascii="Arial" w:hAnsi="Arial"/>
        </w:rPr>
        <w:t xml:space="preserve">☐ </w:t>
      </w:r>
      <w:r>
        <w:t>Decide which policy/process should lead the response.</w:t>
      </w:r>
    </w:p>
    <w:p>
      <w:pPr>
        <w:spacing w:after="40"/>
      </w:pPr>
      <w:r>
        <w:rPr>
          <w:rFonts w:ascii="Arial" w:hAnsi="Arial"/>
        </w:rPr>
        <w:t xml:space="preserve">☐ </w:t>
      </w:r>
      <w:r>
        <w:t>Consider whether the concern requires DSL, LADO, police, children's social care, regulator, insurer, employment/legal or other specialist advice.</w:t>
      </w:r>
    </w:p>
    <w:p>
      <w:pPr>
        <w:spacing w:after="40"/>
      </w:pPr>
      <w:r>
        <w:rPr>
          <w:rFonts w:ascii="Arial" w:hAnsi="Arial"/>
        </w:rPr>
        <w:t xml:space="preserve">☐ </w:t>
      </w:r>
      <w:r>
        <w:t>Identify a person sufficiently independent to handle the concern.</w:t>
      </w:r>
    </w:p>
    <w:p>
      <w:pPr>
        <w:spacing w:after="40"/>
      </w:pPr>
      <w:r>
        <w:rPr>
          <w:rFonts w:ascii="Arial" w:hAnsi="Arial"/>
        </w:rPr>
        <w:t xml:space="preserve">☐ </w:t>
      </w:r>
      <w:r>
        <w:t>Record decisions, rationale, actions and outcomes.</w:t>
      </w:r>
    </w:p>
    <w:p>
      <w:pPr>
        <w:spacing w:after="40"/>
      </w:pPr>
      <w:r>
        <w:rPr>
          <w:rFonts w:ascii="Arial" w:hAnsi="Arial"/>
        </w:rPr>
        <w:t xml:space="preserve">☐ </w:t>
      </w:r>
      <w:r>
        <w:t>Protect the whistleblower from retaliation as far as Stageworks can.</w:t>
      </w:r>
    </w:p>
    <w:p>
      <w:pPr>
        <w:spacing w:after="40"/>
      </w:pPr>
      <w:r>
        <w:rPr>
          <w:rFonts w:ascii="Arial" w:hAnsi="Arial"/>
        </w:rPr>
        <w:t xml:space="preserve">☐ </w:t>
      </w:r>
      <w:r>
        <w:t>Provide appropriate progress/outcome information, recognising confidentiality limits.</w:t>
      </w:r>
    </w:p>
    <w:p>
      <w:r>
        <w:t>The whistleblower does not control the investigation or disciplinary outcome, and Stageworks may be unable to disclose detailed information about other people.</w:t>
      </w:r>
    </w:p>
    <w:p>
      <w:pPr>
        <w:pStyle w:val="Heading1"/>
      </w:pPr>
      <w:r>
        <w:t>10. No Retaliation / Detriment</w:t>
      </w:r>
    </w:p>
    <w:p>
      <w:r>
        <w:t>Stageworks will not tolerate dismissal, threats, bullying, loss of opportunities, harassment or other retaliation because a worker has made a genuine protected disclosure. Workers who believe they have suffered detriment should raise this promptly and may wish to obtain independent employment advice.</w:t>
      </w:r>
    </w:p>
    <w:p>
      <w:r>
        <w:t>Legal whistleblowing protection applies where the statutory conditions are met; the policy cannot itself determine whether a disclosure is legally protected.</w:t>
      </w:r>
    </w:p>
    <w:p>
      <w:pPr>
        <w:pStyle w:val="Heading1"/>
      </w:pPr>
      <w:r>
        <w:t>11. External Whistleblowing &amp; Advice</w:t>
      </w:r>
    </w:p>
    <w:p>
      <w:r>
        <w:t>Internal reporting is encouraged where it is safe and appropriate, but staff are not required to remain silent where genuine concerns are not being addressed or internal reporting is not appropriate. A worker may be able to disclose to a relevant 'prescribed person' or body. The correct external body depends on the subject matter.</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ROUTE</w:t>
            </w:r>
          </w:p>
        </w:tc>
        <w:tc>
          <w:tcPr>
            <w:tcW w:type="dxa" w:w="5227"/>
            <w:shd w:fill="171717"/>
            <w:vAlign w:val="center"/>
          </w:tcPr>
          <w:p>
            <w:r/>
            <w:r>
              <w:rPr>
                <w:rFonts w:ascii="Aptos" w:hAnsi="Aptos"/>
                <w:b/>
                <w:color w:val="FFFFFF"/>
                <w:sz w:val="14"/>
              </w:rPr>
              <w:t>WHEN IT MAY HELP</w:t>
            </w:r>
          </w:p>
        </w:tc>
      </w:tr>
      <w:tr>
        <w:tc>
          <w:tcPr>
            <w:tcW w:type="dxa" w:w="5227"/>
            <w:vAlign w:val="center"/>
          </w:tcPr>
          <w:p>
            <w:r/>
            <w:r>
              <w:rPr>
                <w:rFonts w:ascii="Aptos" w:hAnsi="Aptos"/>
                <w:b w:val="0"/>
                <w:color w:val="171717"/>
                <w:sz w:val="14"/>
              </w:rPr>
              <w:t>NSPCC Whistleblowing Advice Line</w:t>
            </w:r>
          </w:p>
        </w:tc>
        <w:tc>
          <w:tcPr>
            <w:tcW w:type="dxa" w:w="5227"/>
            <w:vAlign w:val="center"/>
          </w:tcPr>
          <w:p>
            <w:r/>
            <w:r>
              <w:rPr>
                <w:rFonts w:ascii="Aptos" w:hAnsi="Aptos"/>
                <w:b w:val="0"/>
                <w:color w:val="171717"/>
                <w:sz w:val="14"/>
              </w:rPr>
              <w:t>Alternative safeguarding route for staff who feel unable to raise child-protection failures internally or are concerned about how a safeguarding concern is being handled.</w:t>
            </w:r>
          </w:p>
        </w:tc>
      </w:tr>
      <w:tr>
        <w:tc>
          <w:tcPr>
            <w:tcW w:type="dxa" w:w="5227"/>
            <w:vAlign w:val="center"/>
            <w:shd w:fill="F7F7F7"/>
          </w:tcPr>
          <w:p>
            <w:r/>
            <w:r>
              <w:rPr>
                <w:rFonts w:ascii="Aptos" w:hAnsi="Aptos"/>
                <w:b w:val="0"/>
                <w:color w:val="171717"/>
                <w:sz w:val="14"/>
              </w:rPr>
              <w:t>Relevant prescribed person/body</w:t>
            </w:r>
          </w:p>
        </w:tc>
        <w:tc>
          <w:tcPr>
            <w:tcW w:type="dxa" w:w="5227"/>
            <w:vAlign w:val="center"/>
            <w:shd w:fill="F7F7F7"/>
          </w:tcPr>
          <w:p>
            <w:r/>
            <w:r>
              <w:rPr>
                <w:rFonts w:ascii="Aptos" w:hAnsi="Aptos"/>
                <w:b w:val="0"/>
                <w:color w:val="171717"/>
                <w:sz w:val="14"/>
              </w:rPr>
              <w:t>For wrongdoing within that body's statutory remit; the current GOV.UK prescribed-person list should be checked before disclosure.</w:t>
            </w:r>
          </w:p>
        </w:tc>
      </w:tr>
      <w:tr>
        <w:tc>
          <w:tcPr>
            <w:tcW w:type="dxa" w:w="5227"/>
            <w:vAlign w:val="center"/>
          </w:tcPr>
          <w:p>
            <w:r/>
            <w:r>
              <w:rPr>
                <w:rFonts w:ascii="Aptos" w:hAnsi="Aptos"/>
                <w:b w:val="0"/>
                <w:color w:val="171717"/>
                <w:sz w:val="14"/>
              </w:rPr>
              <w:t>Police / emergency services</w:t>
            </w:r>
          </w:p>
        </w:tc>
        <w:tc>
          <w:tcPr>
            <w:tcW w:type="dxa" w:w="5227"/>
            <w:vAlign w:val="center"/>
          </w:tcPr>
          <w:p>
            <w:r/>
            <w:r>
              <w:rPr>
                <w:rFonts w:ascii="Aptos" w:hAnsi="Aptos"/>
                <w:b w:val="0"/>
                <w:color w:val="171717"/>
                <w:sz w:val="14"/>
              </w:rPr>
              <w:t>Immediate danger or suspected criminal matters where police involvement is appropriate.</w:t>
            </w:r>
          </w:p>
        </w:tc>
      </w:tr>
      <w:tr>
        <w:tc>
          <w:tcPr>
            <w:tcW w:type="dxa" w:w="5227"/>
            <w:vAlign w:val="center"/>
            <w:shd w:fill="F7F7F7"/>
          </w:tcPr>
          <w:p>
            <w:r/>
            <w:r>
              <w:rPr>
                <w:rFonts w:ascii="Aptos" w:hAnsi="Aptos"/>
                <w:b w:val="0"/>
                <w:color w:val="171717"/>
                <w:sz w:val="14"/>
              </w:rPr>
              <w:t>Local safeguarding / LADO route</w:t>
            </w:r>
          </w:p>
        </w:tc>
        <w:tc>
          <w:tcPr>
            <w:tcW w:type="dxa" w:w="5227"/>
            <w:vAlign w:val="center"/>
            <w:shd w:fill="F7F7F7"/>
          </w:tcPr>
          <w:p>
            <w:r/>
            <w:r>
              <w:rPr>
                <w:rFonts w:ascii="Aptos" w:hAnsi="Aptos"/>
                <w:b w:val="0"/>
                <w:color w:val="171717"/>
                <w:sz w:val="14"/>
              </w:rPr>
              <w:t>Concerns/allegations about adults working with children where local safeguarding procedures apply.</w:t>
            </w:r>
          </w:p>
        </w:tc>
      </w:tr>
      <w:tr>
        <w:tc>
          <w:tcPr>
            <w:tcW w:type="dxa" w:w="5227"/>
            <w:vAlign w:val="center"/>
          </w:tcPr>
          <w:p>
            <w:r/>
            <w:r>
              <w:rPr>
                <w:rFonts w:ascii="Aptos" w:hAnsi="Aptos"/>
                <w:b w:val="0"/>
                <w:color w:val="171717"/>
                <w:sz w:val="14"/>
              </w:rPr>
              <w:t>Legal adviser / Acas / Protect / trade union</w:t>
            </w:r>
          </w:p>
        </w:tc>
        <w:tc>
          <w:tcPr>
            <w:tcW w:type="dxa" w:w="5227"/>
            <w:vAlign w:val="center"/>
          </w:tcPr>
          <w:p>
            <w:r/>
            <w:r>
              <w:rPr>
                <w:rFonts w:ascii="Aptos" w:hAnsi="Aptos"/>
                <w:b w:val="0"/>
                <w:color w:val="171717"/>
                <w:sz w:val="14"/>
              </w:rPr>
              <w:t>Independent advice about whistleblowing rights, process or employment consequences.</w:t>
            </w:r>
          </w:p>
        </w:tc>
      </w:tr>
    </w:tbl>
    <w:p/>
    <w:p>
      <w:r>
        <w:t>Do not assume Ofsted is the correct prescribed person for every education concern. The current prescribed-person list and the regulator's remit must be checked at the time.</w:t>
      </w:r>
    </w:p>
    <w:p>
      <w:pPr>
        <w:pStyle w:val="Heading1"/>
      </w:pPr>
      <w:r>
        <w:t>12. Safeguarding External Route</w:t>
      </w:r>
    </w:p>
    <w:p>
      <w:r>
        <w:t>For child-protection failures, KCSIE 2026 identifies the NSPCC Whistleblowing Advice Line as an alternative route where staff feel unable to raise concerns internally or are worried about the handling of a concern.</w:t>
      </w:r>
    </w:p>
    <w:p>
      <w:r>
        <w:t>NSPCC Whistleblowing Advice Line: 0800 028 0285 | help@nspcc.org.uk. Current published opening hours should be checked before relying on them.</w:t>
      </w:r>
    </w:p>
    <w:p>
      <w:r>
        <w:br w:type="page"/>
      </w:r>
    </w:p>
    <w:p>
      <w:pPr>
        <w:pStyle w:val="Heading1"/>
      </w:pPr>
      <w:r>
        <w:t>13. Evidence &amp; Records</w:t>
      </w:r>
    </w:p>
    <w:p>
      <w:pPr>
        <w:spacing w:after="40"/>
      </w:pPr>
      <w:r>
        <w:t xml:space="preserve">• </w:t>
      </w:r>
      <w:r>
        <w:t>Keep the original concern and subsequent records securely.</w:t>
      </w:r>
    </w:p>
    <w:p>
      <w:pPr>
        <w:spacing w:after="40"/>
      </w:pPr>
      <w:r>
        <w:t xml:space="preserve">• </w:t>
      </w:r>
      <w:r>
        <w:t>Record dates, facts, actions, decisions, rationale and outcomes.</w:t>
      </w:r>
    </w:p>
    <w:p>
      <w:pPr>
        <w:spacing w:after="40"/>
      </w:pPr>
      <w:r>
        <w:t xml:space="preserve">• </w:t>
      </w:r>
      <w:r>
        <w:t>Restrict access to people who need the information.</w:t>
      </w:r>
    </w:p>
    <w:p>
      <w:pPr>
        <w:spacing w:after="40"/>
      </w:pPr>
      <w:r>
        <w:t xml:space="preserve">• </w:t>
      </w:r>
      <w:r>
        <w:t>Preserve relevant safeguarding, employment, financial, digital or safety evidence.</w:t>
      </w:r>
    </w:p>
    <w:p>
      <w:pPr>
        <w:spacing w:after="40"/>
      </w:pPr>
      <w:r>
        <w:t xml:space="preserve">• </w:t>
      </w:r>
      <w:r>
        <w:t>Do not alter or destroy documents because a concern has been raised.</w:t>
      </w:r>
    </w:p>
    <w:p>
      <w:pPr>
        <w:spacing w:after="40"/>
      </w:pPr>
      <w:r>
        <w:t xml:space="preserve">• </w:t>
      </w:r>
      <w:r>
        <w:t>Retention will follow applicable safeguarding, employment, regulatory and data-protection requirements.</w:t>
      </w:r>
    </w:p>
    <w:p>
      <w:pPr>
        <w:pStyle w:val="Heading1"/>
      </w:pPr>
      <w:r>
        <w:t>14. Whistleblowing Concern Record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FIELD</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Reporter / anonymous / confidentiality requested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Role / relationship to Stageworks</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Date concern raised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Recipient</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Nature of suspected wrongdoing</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People / children potentially affected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Factual information / dates / locations</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Immediate safeguarding / safety risk</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Evidence identified / preserved</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Other procedure engaged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External advice/referral</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Person handling concern</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Actions / decisions / rationale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Protection from retaliation required</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Feedback provided / date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Outcome / closure / lessons</w:t>
            </w:r>
          </w:p>
        </w:tc>
        <w:tc>
          <w:tcPr>
            <w:tcW w:type="dxa" w:w="5227"/>
            <w:vAlign w:val="center"/>
            <w:shd w:fill="F7F7F7"/>
          </w:tcPr>
          <w:p>
            <w:r/>
            <w:r>
              <w:rPr>
                <w:rFonts w:ascii="Aptos" w:hAnsi="Aptos"/>
                <w:b w:val="0"/>
                <w:color w:val="171717"/>
                <w:sz w:val="14"/>
              </w:rPr>
            </w:r>
          </w:p>
        </w:tc>
      </w:tr>
    </w:tbl>
    <w:p/>
    <w:p>
      <w:pPr>
        <w:pStyle w:val="Heading1"/>
      </w:pPr>
      <w:r>
        <w:t>15. Whistleblowing Action &amp; Review Log</w:t>
      </w:r>
    </w:p>
    <w:tbl>
      <w:tblPr>
        <w:tblStyle w:val="TableGrid"/>
        <w:tblW w:type="auto" w:w="0"/>
        <w:jc w:val="center"/>
        <w:tblLook w:firstColumn="1" w:firstRow="1" w:lastColumn="0" w:lastRow="0" w:noHBand="0" w:noVBand="1" w:val="04A0"/>
      </w:tblPr>
      <w:tblGrid>
        <w:gridCol w:w="2091"/>
        <w:gridCol w:w="2091"/>
        <w:gridCol w:w="2091"/>
        <w:gridCol w:w="2091"/>
        <w:gridCol w:w="2091"/>
      </w:tblGrid>
      <w:tr>
        <w:tc>
          <w:tcPr>
            <w:tcW w:type="dxa" w:w="2091"/>
            <w:shd w:fill="171717"/>
            <w:vAlign w:val="center"/>
          </w:tcPr>
          <w:p>
            <w:r/>
            <w:r>
              <w:rPr>
                <w:rFonts w:ascii="Aptos" w:hAnsi="Aptos"/>
                <w:b/>
                <w:color w:val="FFFFFF"/>
                <w:sz w:val="14"/>
              </w:rPr>
              <w:t>DATE</w:t>
            </w:r>
          </w:p>
        </w:tc>
        <w:tc>
          <w:tcPr>
            <w:tcW w:type="dxa" w:w="2091"/>
            <w:shd w:fill="171717"/>
            <w:vAlign w:val="center"/>
          </w:tcPr>
          <w:p>
            <w:r/>
            <w:r>
              <w:rPr>
                <w:rFonts w:ascii="Aptos" w:hAnsi="Aptos"/>
                <w:b/>
                <w:color w:val="FFFFFF"/>
                <w:sz w:val="14"/>
              </w:rPr>
              <w:t>ACTION / DECISION</w:t>
            </w:r>
          </w:p>
        </w:tc>
        <w:tc>
          <w:tcPr>
            <w:tcW w:type="dxa" w:w="2091"/>
            <w:shd w:fill="171717"/>
            <w:vAlign w:val="center"/>
          </w:tcPr>
          <w:p>
            <w:r/>
            <w:r>
              <w:rPr>
                <w:rFonts w:ascii="Aptos" w:hAnsi="Aptos"/>
                <w:b/>
                <w:color w:val="FFFFFF"/>
                <w:sz w:val="14"/>
              </w:rPr>
              <w:t>BY WHOM</w:t>
            </w:r>
          </w:p>
        </w:tc>
        <w:tc>
          <w:tcPr>
            <w:tcW w:type="dxa" w:w="2091"/>
            <w:shd w:fill="171717"/>
            <w:vAlign w:val="center"/>
          </w:tcPr>
          <w:p>
            <w:r/>
            <w:r>
              <w:rPr>
                <w:rFonts w:ascii="Aptos" w:hAnsi="Aptos"/>
                <w:b/>
                <w:color w:val="FFFFFF"/>
                <w:sz w:val="14"/>
              </w:rPr>
              <w:t>RATIONALE / ADVICE</w:t>
            </w:r>
          </w:p>
        </w:tc>
        <w:tc>
          <w:tcPr>
            <w:tcW w:type="dxa" w:w="2091"/>
            <w:shd w:fill="171717"/>
            <w:vAlign w:val="center"/>
          </w:tcPr>
          <w:p>
            <w:r/>
            <w:r>
              <w:rPr>
                <w:rFonts w:ascii="Aptos" w:hAnsi="Aptos"/>
                <w:b/>
                <w:color w:val="FFFFFF"/>
                <w:sz w:val="14"/>
              </w:rPr>
              <w:t>NEXT STEP / DEADLINE</w:t>
            </w:r>
          </w:p>
        </w:tc>
      </w:tr>
      <w:tr>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r>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c>
          <w:tcPr>
            <w:tcW w:type="dxa" w:w="2091"/>
            <w:vAlign w:val="center"/>
          </w:tcPr>
          <w:p>
            <w:r/>
            <w:r>
              <w:rPr>
                <w:rFonts w:ascii="Aptos" w:hAnsi="Aptos"/>
                <w:b w:val="0"/>
                <w:color w:val="171717"/>
                <w:sz w:val="14"/>
              </w:rPr>
            </w:r>
          </w:p>
        </w:tc>
      </w:tr>
      <w:tr>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c>
          <w:tcPr>
            <w:tcW w:type="dxa" w:w="2091"/>
            <w:vAlign w:val="center"/>
            <w:shd w:fill="F7F7F7"/>
          </w:tcPr>
          <w:p>
            <w:r/>
            <w:r>
              <w:rPr>
                <w:rFonts w:ascii="Aptos" w:hAnsi="Aptos"/>
                <w:b w:val="0"/>
                <w:color w:val="171717"/>
                <w:sz w:val="14"/>
              </w:rPr>
            </w:r>
          </w:p>
        </w:tc>
      </w:tr>
    </w:tbl>
    <w:p/>
    <w:p>
      <w:pPr>
        <w:pStyle w:val="Heading1"/>
      </w:pPr>
      <w:r>
        <w:t>16. Conflict of Interest / Concern About Senior Leadership</w:t>
      </w:r>
    </w:p>
    <w:p>
      <w:r>
        <w:t>Where the concern involves the Founder/Principal, or another person who would normally receive or control the concern, that person must not manage the matter. The alternative independent route should receive the concern, obtain appropriate external advice and ensure safeguarding/regulatory action is not blocked.</w:t>
      </w:r>
    </w:p>
    <w:tbl>
      <w:tblPr>
        <w:tblW w:type="auto" w:w="0"/>
        <w:tblLook w:firstColumn="1" w:firstRow="1" w:lastColumn="0" w:lastRow="0" w:noHBand="0" w:noVBand="1" w:val="04A0"/>
      </w:tblPr>
      <w:tblGrid>
        <w:gridCol w:w="10454"/>
      </w:tblGrid>
      <w:tr>
        <w:tc>
          <w:tcPr>
            <w:tcW w:type="dxa" w:w="10454"/>
            <w:shd w:fill="F4EFE6"/>
            <w:vAlign w:val="center"/>
          </w:tcPr>
          <w:p>
            <w:pPr>
              <w:jc w:val="center"/>
            </w:pPr>
            <w:r>
              <w:t>EMMA HOBBIS IS THE DESIGNATED WHISTLEBLOWING PERSON. CONCERNS ABOUT EMMA MUST USE AN INDEPENDENT / EXTERNAL ROUTE.</w:t>
            </w:r>
          </w:p>
        </w:tc>
      </w:tr>
    </w:tbl>
    <w:p/>
    <w:p>
      <w:pPr>
        <w:pStyle w:val="Heading1"/>
      </w:pPr>
      <w:r>
        <w:t>17. Malicious or Knowingly False Reports</w:t>
      </w:r>
    </w:p>
    <w:p>
      <w:r>
        <w:t>Stageworks distinguishes between an unsubstantiated concern raised honestly and a report known by the reporter to be false or malicious. A genuine concern will not attract disciplinary action merely because it cannot be proven. Deliberately fabricated allegations may be addressed under appropriate conduct procedures.</w:t>
      </w:r>
    </w:p>
    <w:p>
      <w:r>
        <w:br w:type="page"/>
      </w:r>
    </w:p>
    <w:p>
      <w:pPr>
        <w:pStyle w:val="Heading1"/>
      </w:pPr>
      <w:r>
        <w:t>18. Staff Training &amp; Awareness</w:t>
      </w:r>
    </w:p>
    <w:p>
      <w:pPr>
        <w:spacing w:after="40"/>
      </w:pPr>
      <w:r>
        <w:rPr>
          <w:rFonts w:ascii="Arial" w:hAnsi="Arial"/>
        </w:rPr>
        <w:t xml:space="preserve">☐ </w:t>
      </w:r>
      <w:r>
        <w:t>Staff know what whistleblowing means and how it differs from a grievance.</w:t>
      </w:r>
    </w:p>
    <w:p>
      <w:pPr>
        <w:spacing w:after="40"/>
      </w:pPr>
      <w:r>
        <w:rPr>
          <w:rFonts w:ascii="Arial" w:hAnsi="Arial"/>
        </w:rPr>
        <w:t xml:space="preserve">☐ </w:t>
      </w:r>
      <w:r>
        <w:t>Staff know the internal whistleblowing contact.</w:t>
      </w:r>
    </w:p>
    <w:p>
      <w:pPr>
        <w:spacing w:after="40"/>
      </w:pPr>
      <w:r>
        <w:rPr>
          <w:rFonts w:ascii="Arial" w:hAnsi="Arial"/>
        </w:rPr>
        <w:t xml:space="preserve">☐ </w:t>
      </w:r>
      <w:r>
        <w:t>Staff know the alternative route where the concern involves the Founder/Principal.</w:t>
      </w:r>
    </w:p>
    <w:p>
      <w:pPr>
        <w:spacing w:after="40"/>
      </w:pPr>
      <w:r>
        <w:rPr>
          <w:rFonts w:ascii="Arial" w:hAnsi="Arial"/>
        </w:rPr>
        <w:t xml:space="preserve">☐ </w:t>
      </w:r>
      <w:r>
        <w:t>Staff know immediate safeguarding concerns must not wait for whistleblowing procedures.</w:t>
      </w:r>
    </w:p>
    <w:p>
      <w:pPr>
        <w:spacing w:after="40"/>
      </w:pPr>
      <w:r>
        <w:rPr>
          <w:rFonts w:ascii="Arial" w:hAnsi="Arial"/>
        </w:rPr>
        <w:t xml:space="preserve">☐ </w:t>
      </w:r>
      <w:r>
        <w:t>Staff know the allegations/low-level concerns route for concerns about adults.</w:t>
      </w:r>
    </w:p>
    <w:p>
      <w:pPr>
        <w:spacing w:after="40"/>
      </w:pPr>
      <w:r>
        <w:rPr>
          <w:rFonts w:ascii="Arial" w:hAnsi="Arial"/>
        </w:rPr>
        <w:t xml:space="preserve">☐ </w:t>
      </w:r>
      <w:r>
        <w:t>Staff know the NSPCC safeguarding whistleblowing route.</w:t>
      </w:r>
    </w:p>
    <w:p>
      <w:pPr>
        <w:spacing w:after="40"/>
      </w:pPr>
      <w:r>
        <w:rPr>
          <w:rFonts w:ascii="Arial" w:hAnsi="Arial"/>
        </w:rPr>
        <w:t xml:space="preserve">☐ </w:t>
      </w:r>
      <w:r>
        <w:t>Managers understand confidentiality, retaliation and record-keeping requirements.</w:t>
      </w:r>
    </w:p>
    <w:p>
      <w:pPr>
        <w:spacing w:after="40"/>
      </w:pPr>
      <w:r>
        <w:rPr>
          <w:rFonts w:ascii="Arial" w:hAnsi="Arial"/>
        </w:rPr>
        <w:t xml:space="preserve">☐ </w:t>
      </w:r>
      <w:r>
        <w:t>Staff know where to find the current external prescribed-person guidance.</w:t>
      </w:r>
    </w:p>
    <w:p>
      <w:pPr>
        <w:pStyle w:val="Heading1"/>
      </w:pPr>
      <w:r>
        <w:t>19. Annual Staff Acknowledgement</w:t>
      </w:r>
    </w:p>
    <w:p>
      <w:r>
        <w:t>I confirm that I know how to raise a whistleblowing concern at Stageworks Education, understand that safeguarding concerns must be acted on immediately, and know where to seek an alternative route if I cannot safely raise a concern internally.</w:t>
      </w:r>
    </w:p>
    <w:tbl>
      <w:tblPr>
        <w:tblStyle w:val="TableGrid"/>
        <w:tblW w:type="auto" w:w="0"/>
        <w:jc w:val="center"/>
        <w:tblLook w:firstColumn="1" w:firstRow="1" w:lastColumn="0" w:lastRow="0" w:noHBand="0" w:noVBand="1" w:val="04A0"/>
      </w:tblPr>
      <w:tblGrid>
        <w:gridCol w:w="2613"/>
        <w:gridCol w:w="2613"/>
        <w:gridCol w:w="2613"/>
        <w:gridCol w:w="2613"/>
      </w:tblGrid>
      <w:tr>
        <w:tc>
          <w:tcPr>
            <w:tcW w:type="dxa" w:w="2613"/>
            <w:shd w:fill="171717"/>
            <w:vAlign w:val="center"/>
          </w:tcPr>
          <w:p>
            <w:r/>
            <w:r>
              <w:rPr>
                <w:rFonts w:ascii="Aptos" w:hAnsi="Aptos"/>
                <w:b/>
                <w:color w:val="FFFFFF"/>
                <w:sz w:val="14"/>
              </w:rPr>
              <w:t>STAFF NAME</w:t>
            </w:r>
          </w:p>
        </w:tc>
        <w:tc>
          <w:tcPr>
            <w:tcW w:type="dxa" w:w="2613"/>
            <w:shd w:fill="171717"/>
            <w:vAlign w:val="center"/>
          </w:tcPr>
          <w:p>
            <w:r/>
            <w:r>
              <w:rPr>
                <w:rFonts w:ascii="Aptos" w:hAnsi="Aptos"/>
                <w:b/>
                <w:color w:val="FFFFFF"/>
                <w:sz w:val="14"/>
              </w:rPr>
              <w:t>ROLE</w:t>
            </w:r>
          </w:p>
        </w:tc>
        <w:tc>
          <w:tcPr>
            <w:tcW w:type="dxa" w:w="2613"/>
            <w:shd w:fill="171717"/>
            <w:vAlign w:val="center"/>
          </w:tcPr>
          <w:p>
            <w:r/>
            <w:r>
              <w:rPr>
                <w:rFonts w:ascii="Aptos" w:hAnsi="Aptos"/>
                <w:b/>
                <w:color w:val="FFFFFF"/>
                <w:sz w:val="14"/>
              </w:rPr>
              <w:t>DATE</w:t>
            </w:r>
          </w:p>
        </w:tc>
        <w:tc>
          <w:tcPr>
            <w:tcW w:type="dxa" w:w="2613"/>
            <w:shd w:fill="171717"/>
            <w:vAlign w:val="center"/>
          </w:tcPr>
          <w:p>
            <w:r/>
            <w:r>
              <w:rPr>
                <w:rFonts w:ascii="Aptos" w:hAnsi="Aptos"/>
                <w:b/>
                <w:color w:val="FFFFFF"/>
                <w:sz w:val="14"/>
              </w:rPr>
              <w:t>SIGNATURE</w:t>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r>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c>
          <w:tcPr>
            <w:tcW w:type="dxa" w:w="2613"/>
            <w:vAlign w:val="center"/>
          </w:tcPr>
          <w:p>
            <w:r/>
            <w:r>
              <w:rPr>
                <w:rFonts w:ascii="Aptos" w:hAnsi="Aptos"/>
                <w:b w:val="0"/>
                <w:color w:val="171717"/>
                <w:sz w:val="14"/>
              </w:rPr>
            </w:r>
          </w:p>
        </w:tc>
      </w:tr>
      <w:tr>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c>
          <w:tcPr>
            <w:tcW w:type="dxa" w:w="2613"/>
            <w:vAlign w:val="center"/>
            <w:shd w:fill="F7F7F7"/>
          </w:tcPr>
          <w:p>
            <w:r/>
            <w:r>
              <w:rPr>
                <w:rFonts w:ascii="Aptos" w:hAnsi="Aptos"/>
                <w:b w:val="0"/>
                <w:color w:val="171717"/>
                <w:sz w:val="14"/>
              </w:rPr>
            </w:r>
          </w:p>
        </w:tc>
      </w:tr>
    </w:tbl>
    <w:p/>
    <w:p>
      <w:pPr>
        <w:pStyle w:val="Heading1"/>
      </w:pPr>
      <w:r>
        <w:t>20. Inspection Evidence Index</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EVIDENCE</w:t>
            </w:r>
          </w:p>
        </w:tc>
        <w:tc>
          <w:tcPr>
            <w:tcW w:type="dxa" w:w="5227"/>
            <w:shd w:fill="171717"/>
            <w:vAlign w:val="center"/>
          </w:tcPr>
          <w:p>
            <w:r/>
            <w:r>
              <w:rPr>
                <w:rFonts w:ascii="Aptos" w:hAnsi="Aptos"/>
                <w:b/>
                <w:color w:val="FFFFFF"/>
                <w:sz w:val="14"/>
              </w:rPr>
              <w:t>STATUS / LOCATION</w:t>
            </w:r>
          </w:p>
        </w:tc>
      </w:tr>
      <w:tr>
        <w:tc>
          <w:tcPr>
            <w:tcW w:type="dxa" w:w="5227"/>
            <w:vAlign w:val="center"/>
          </w:tcPr>
          <w:p>
            <w:r/>
            <w:r>
              <w:rPr>
                <w:rFonts w:ascii="Aptos" w:hAnsi="Aptos"/>
                <w:b w:val="0"/>
                <w:color w:val="171717"/>
                <w:sz w:val="14"/>
              </w:rPr>
              <w:t>Whistleblowing Policy</w:t>
            </w:r>
          </w:p>
        </w:tc>
        <w:tc>
          <w:tcPr>
            <w:tcW w:type="dxa" w:w="5227"/>
            <w:vAlign w:val="center"/>
          </w:tcPr>
          <w:p>
            <w:r/>
            <w:r>
              <w:rPr>
                <w:rFonts w:ascii="Aptos" w:hAnsi="Aptos"/>
                <w:b w:val="0"/>
                <w:color w:val="171717"/>
                <w:sz w:val="14"/>
              </w:rPr>
              <w:t>This document</w:t>
            </w:r>
          </w:p>
        </w:tc>
      </w:tr>
      <w:tr>
        <w:tc>
          <w:tcPr>
            <w:tcW w:type="dxa" w:w="5227"/>
            <w:vAlign w:val="center"/>
            <w:shd w:fill="F7F7F7"/>
          </w:tcPr>
          <w:p>
            <w:r/>
            <w:r>
              <w:rPr>
                <w:rFonts w:ascii="Aptos" w:hAnsi="Aptos"/>
                <w:b w:val="0"/>
                <w:color w:val="171717"/>
                <w:sz w:val="14"/>
              </w:rPr>
              <w:t>Named internal and alternative contacts</w:t>
            </w:r>
          </w:p>
        </w:tc>
        <w:tc>
          <w:tcPr>
            <w:tcW w:type="dxa" w:w="5227"/>
            <w:vAlign w:val="center"/>
            <w:shd w:fill="F7F7F7"/>
          </w:tcPr>
          <w:p>
            <w:r/>
            <w:r>
              <w:rPr>
                <w:rFonts w:ascii="Aptos" w:hAnsi="Aptos"/>
                <w:b w:val="0"/>
                <w:color w:val="171717"/>
                <w:sz w:val="14"/>
              </w:rPr>
              <w:t>Policy / safeguarding contacts sheet</w:t>
            </w:r>
          </w:p>
        </w:tc>
      </w:tr>
      <w:tr>
        <w:tc>
          <w:tcPr>
            <w:tcW w:type="dxa" w:w="5227"/>
            <w:vAlign w:val="center"/>
          </w:tcPr>
          <w:p>
            <w:r/>
            <w:r>
              <w:rPr>
                <w:rFonts w:ascii="Aptos" w:hAnsi="Aptos"/>
                <w:b w:val="0"/>
                <w:color w:val="171717"/>
                <w:sz w:val="14"/>
              </w:rPr>
              <w:t>Staff acknowledgement/training</w:t>
            </w:r>
          </w:p>
        </w:tc>
        <w:tc>
          <w:tcPr>
            <w:tcW w:type="dxa" w:w="5227"/>
            <w:vAlign w:val="center"/>
          </w:tcPr>
          <w:p>
            <w:r/>
            <w:r>
              <w:rPr>
                <w:rFonts w:ascii="Aptos" w:hAnsi="Aptos"/>
                <w:b w:val="0"/>
                <w:color w:val="171717"/>
                <w:sz w:val="14"/>
              </w:rPr>
              <w:t>Section 19 / training file</w:t>
            </w:r>
          </w:p>
        </w:tc>
      </w:tr>
      <w:tr>
        <w:tc>
          <w:tcPr>
            <w:tcW w:type="dxa" w:w="5227"/>
            <w:vAlign w:val="center"/>
            <w:shd w:fill="F7F7F7"/>
          </w:tcPr>
          <w:p>
            <w:r/>
            <w:r>
              <w:rPr>
                <w:rFonts w:ascii="Aptos" w:hAnsi="Aptos"/>
                <w:b w:val="0"/>
                <w:color w:val="171717"/>
                <w:sz w:val="14"/>
              </w:rPr>
              <w:t>Whistleblowing records</w:t>
            </w:r>
          </w:p>
        </w:tc>
        <w:tc>
          <w:tcPr>
            <w:tcW w:type="dxa" w:w="5227"/>
            <w:vAlign w:val="center"/>
            <w:shd w:fill="F7F7F7"/>
          </w:tcPr>
          <w:p>
            <w:r/>
            <w:r>
              <w:rPr>
                <w:rFonts w:ascii="Aptos" w:hAnsi="Aptos"/>
                <w:b w:val="0"/>
                <w:color w:val="171717"/>
                <w:sz w:val="14"/>
              </w:rPr>
              <w:t>Secure management/safeguarding file</w:t>
            </w:r>
          </w:p>
        </w:tc>
      </w:tr>
      <w:tr>
        <w:tc>
          <w:tcPr>
            <w:tcW w:type="dxa" w:w="5227"/>
            <w:vAlign w:val="center"/>
          </w:tcPr>
          <w:p>
            <w:r/>
            <w:r>
              <w:rPr>
                <w:rFonts w:ascii="Aptos" w:hAnsi="Aptos"/>
                <w:b w:val="0"/>
                <w:color w:val="171717"/>
                <w:sz w:val="14"/>
              </w:rPr>
              <w:t>Allegations &amp; Low-Level Concerns Policy</w:t>
            </w:r>
          </w:p>
        </w:tc>
        <w:tc>
          <w:tcPr>
            <w:tcW w:type="dxa" w:w="5227"/>
            <w:vAlign w:val="center"/>
          </w:tcPr>
          <w:p>
            <w:r/>
            <w:r>
              <w:rPr>
                <w:rFonts w:ascii="Aptos" w:hAnsi="Aptos"/>
                <w:b w:val="0"/>
                <w:color w:val="171717"/>
                <w:sz w:val="14"/>
              </w:rPr>
              <w:t>Staff safeguarding file</w:t>
            </w:r>
          </w:p>
        </w:tc>
      </w:tr>
      <w:tr>
        <w:tc>
          <w:tcPr>
            <w:tcW w:type="dxa" w:w="5227"/>
            <w:vAlign w:val="center"/>
            <w:shd w:fill="F7F7F7"/>
          </w:tcPr>
          <w:p>
            <w:r/>
            <w:r>
              <w:rPr>
                <w:rFonts w:ascii="Aptos" w:hAnsi="Aptos"/>
                <w:b w:val="0"/>
                <w:color w:val="171717"/>
                <w:sz w:val="14"/>
              </w:rPr>
              <w:t>Staff Code of Conduct</w:t>
            </w:r>
          </w:p>
        </w:tc>
        <w:tc>
          <w:tcPr>
            <w:tcW w:type="dxa" w:w="5227"/>
            <w:vAlign w:val="center"/>
            <w:shd w:fill="F7F7F7"/>
          </w:tcPr>
          <w:p>
            <w:r/>
            <w:r>
              <w:rPr>
                <w:rFonts w:ascii="Aptos" w:hAnsi="Aptos"/>
                <w:b w:val="0"/>
                <w:color w:val="171717"/>
                <w:sz w:val="14"/>
              </w:rPr>
              <w:t>Staff safeguarding file</w:t>
            </w:r>
          </w:p>
        </w:tc>
      </w:tr>
      <w:tr>
        <w:tc>
          <w:tcPr>
            <w:tcW w:type="dxa" w:w="5227"/>
            <w:vAlign w:val="center"/>
          </w:tcPr>
          <w:p>
            <w:r/>
            <w:r>
              <w:rPr>
                <w:rFonts w:ascii="Aptos" w:hAnsi="Aptos"/>
                <w:b w:val="0"/>
                <w:color w:val="171717"/>
                <w:sz w:val="14"/>
              </w:rPr>
              <w:t>Safeguarding Policy</w:t>
            </w:r>
          </w:p>
        </w:tc>
        <w:tc>
          <w:tcPr>
            <w:tcW w:type="dxa" w:w="5227"/>
            <w:vAlign w:val="center"/>
          </w:tcPr>
          <w:p>
            <w:r/>
            <w:r>
              <w:rPr>
                <w:rFonts w:ascii="Aptos" w:hAnsi="Aptos"/>
                <w:b w:val="0"/>
                <w:color w:val="171717"/>
                <w:sz w:val="14"/>
              </w:rPr>
              <w:t>Safeguarding portfolio</w:t>
            </w:r>
          </w:p>
        </w:tc>
      </w:tr>
      <w:tr>
        <w:tc>
          <w:tcPr>
            <w:tcW w:type="dxa" w:w="5227"/>
            <w:vAlign w:val="center"/>
            <w:shd w:fill="F7F7F7"/>
          </w:tcPr>
          <w:p>
            <w:r/>
            <w:r>
              <w:rPr>
                <w:rFonts w:ascii="Aptos" w:hAnsi="Aptos"/>
                <w:b w:val="0"/>
                <w:color w:val="171717"/>
                <w:sz w:val="14"/>
              </w:rPr>
              <w:t>Evidence of actions/learning</w:t>
            </w:r>
          </w:p>
        </w:tc>
        <w:tc>
          <w:tcPr>
            <w:tcW w:type="dxa" w:w="5227"/>
            <w:vAlign w:val="center"/>
            <w:shd w:fill="F7F7F7"/>
          </w:tcPr>
          <w:p>
            <w:r/>
            <w:r>
              <w:rPr>
                <w:rFonts w:ascii="Aptos" w:hAnsi="Aptos"/>
                <w:b w:val="0"/>
                <w:color w:val="171717"/>
                <w:sz w:val="14"/>
              </w:rPr>
              <w:t>Secure case records / review log</w:t>
            </w:r>
          </w:p>
        </w:tc>
      </w:tr>
    </w:tbl>
    <w:p/>
    <w:p>
      <w:pPr>
        <w:pStyle w:val="Heading1"/>
      </w:pPr>
      <w:r>
        <w:t>21. Immediate Implementation Checklist</w:t>
      </w:r>
    </w:p>
    <w:p>
      <w:pPr>
        <w:spacing w:after="40"/>
      </w:pPr>
      <w:r>
        <w:rPr>
          <w:rFonts w:ascii="Arial" w:hAnsi="Arial"/>
        </w:rPr>
        <w:t xml:space="preserve">☐ </w:t>
      </w:r>
      <w:r>
        <w:t>Record Emma Hobbis as the Designated Whistleblowing Person and ensure staff know that concerns about Emma must use an appropriate independent/external route.</w:t>
      </w:r>
    </w:p>
    <w:p>
      <w:pPr>
        <w:spacing w:after="40"/>
      </w:pPr>
      <w:r>
        <w:rPr>
          <w:rFonts w:ascii="Arial" w:hAnsi="Arial"/>
        </w:rPr>
        <w:t xml:space="preserve">☐ </w:t>
      </w:r>
      <w:r>
        <w:t>Add Emma Hobbis as Designated Whistleblowing Person to the safeguarding contacts sheet and maintain clear LADO/external reporting details for concerns involving Emma.</w:t>
      </w:r>
    </w:p>
    <w:p>
      <w:pPr>
        <w:spacing w:after="40"/>
      </w:pPr>
      <w:r>
        <w:rPr>
          <w:rFonts w:ascii="Arial" w:hAnsi="Arial"/>
        </w:rPr>
        <w:t xml:space="preserve">☐ </w:t>
      </w:r>
      <w:r>
        <w:t>Brief all Stageworks Education staff on whistleblowing at induction/training.</w:t>
      </w:r>
    </w:p>
    <w:p>
      <w:pPr>
        <w:spacing w:after="40"/>
      </w:pPr>
      <w:r>
        <w:rPr>
          <w:rFonts w:ascii="Arial" w:hAnsi="Arial"/>
        </w:rPr>
        <w:t xml:space="preserve">☐ </w:t>
      </w:r>
      <w:r>
        <w:t>Ensure staff can distinguish whistleblowing, safeguarding, low-level concerns, grievances and complaints.</w:t>
      </w:r>
    </w:p>
    <w:p>
      <w:pPr>
        <w:spacing w:after="40"/>
      </w:pPr>
      <w:r>
        <w:rPr>
          <w:rFonts w:ascii="Arial" w:hAnsi="Arial"/>
        </w:rPr>
        <w:t xml:space="preserve">☐ </w:t>
      </w:r>
      <w:r>
        <w:t>Give staff the NSPCC safeguarding whistleblowing details.</w:t>
      </w:r>
    </w:p>
    <w:p>
      <w:pPr>
        <w:spacing w:after="40"/>
      </w:pPr>
      <w:r>
        <w:rPr>
          <w:rFonts w:ascii="Arial" w:hAnsi="Arial"/>
        </w:rPr>
        <w:t xml:space="preserve">☐ </w:t>
      </w:r>
      <w:r>
        <w:t>Create a secure whistleblowing record location with restricted access.</w:t>
      </w:r>
    </w:p>
    <w:p>
      <w:pPr>
        <w:spacing w:after="40"/>
      </w:pPr>
      <w:r>
        <w:rPr>
          <w:rFonts w:ascii="Arial" w:hAnsi="Arial"/>
        </w:rPr>
        <w:t xml:space="preserve">☐ </w:t>
      </w:r>
      <w:r>
        <w:t>Ensure no manager investigates a matter where they have a conflict of interest.</w:t>
      </w:r>
    </w:p>
    <w:p>
      <w:pPr>
        <w:spacing w:after="40"/>
      </w:pPr>
      <w:r>
        <w:rPr>
          <w:rFonts w:ascii="Arial" w:hAnsi="Arial"/>
        </w:rPr>
        <w:t xml:space="preserve">☐ </w:t>
      </w:r>
      <w:r>
        <w:t>Cross-reference this policy in the Staff Code of Conduct and Allegations/Low-Level Concerns Policy.</w:t>
      </w:r>
    </w:p>
    <w:p>
      <w:pPr>
        <w:spacing w:after="40"/>
      </w:pPr>
      <w:r>
        <w:rPr>
          <w:rFonts w:ascii="Arial" w:hAnsi="Arial"/>
        </w:rPr>
        <w:t xml:space="preserve">☐ </w:t>
      </w:r>
      <w:r>
        <w:t>Review the current prescribed-person list whenever an external disclosure route is needed.</w:t>
      </w:r>
    </w:p>
    <w:p>
      <w:pPr>
        <w:pStyle w:val="Heading1"/>
      </w:pPr>
      <w:r>
        <w:t>22. Approval &amp; Review</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4"/>
              </w:rPr>
              <w:t>CONTROL</w:t>
            </w:r>
          </w:p>
        </w:tc>
        <w:tc>
          <w:tcPr>
            <w:tcW w:type="dxa" w:w="5227"/>
            <w:shd w:fill="171717"/>
            <w:vAlign w:val="center"/>
          </w:tcPr>
          <w:p>
            <w:r/>
            <w:r>
              <w:rPr>
                <w:rFonts w:ascii="Aptos" w:hAnsi="Aptos"/>
                <w:b/>
                <w:color w:val="FFFFFF"/>
                <w:sz w:val="14"/>
              </w:rPr>
              <w:t>DETAIL</w:t>
            </w:r>
          </w:p>
        </w:tc>
      </w:tr>
      <w:tr>
        <w:tc>
          <w:tcPr>
            <w:tcW w:type="dxa" w:w="5227"/>
            <w:vAlign w:val="center"/>
          </w:tcPr>
          <w:p>
            <w:r/>
            <w:r>
              <w:rPr>
                <w:rFonts w:ascii="Aptos" w:hAnsi="Aptos"/>
                <w:b w:val="0"/>
                <w:color w:val="171717"/>
                <w:sz w:val="14"/>
              </w:rPr>
              <w:t>Approved by</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Role</w:t>
            </w:r>
          </w:p>
        </w:tc>
        <w:tc>
          <w:tcPr>
            <w:tcW w:type="dxa" w:w="5227"/>
            <w:vAlign w:val="center"/>
            <w:shd w:fill="F7F7F7"/>
          </w:tcPr>
          <w:p>
            <w:r/>
            <w:r>
              <w:rPr>
                <w:rFonts w:ascii="Aptos" w:hAnsi="Aptos"/>
                <w:b w:val="0"/>
                <w:color w:val="171717"/>
                <w:sz w:val="14"/>
              </w:rPr>
              <w:t>Founder / Principal</w:t>
            </w:r>
          </w:p>
        </w:tc>
      </w:tr>
      <w:tr>
        <w:tc>
          <w:tcPr>
            <w:tcW w:type="dxa" w:w="5227"/>
            <w:vAlign w:val="center"/>
          </w:tcPr>
          <w:p>
            <w:r/>
            <w:r>
              <w:rPr>
                <w:rFonts w:ascii="Aptos" w:hAnsi="Aptos"/>
                <w:b w:val="0"/>
                <w:color w:val="171717"/>
                <w:sz w:val="14"/>
              </w:rPr>
              <w:t>Approval date</w:t>
            </w:r>
          </w:p>
        </w:tc>
        <w:tc>
          <w:tcPr>
            <w:tcW w:type="dxa" w:w="5227"/>
            <w:vAlign w:val="center"/>
          </w:tcPr>
          <w:p>
            <w:r/>
            <w:r>
              <w:rPr>
                <w:rFonts w:ascii="Aptos" w:hAnsi="Aptos"/>
                <w:b w:val="0"/>
                <w:color w:val="171717"/>
                <w:sz w:val="14"/>
              </w:rPr>
            </w:r>
          </w:p>
        </w:tc>
      </w:tr>
      <w:tr>
        <w:tc>
          <w:tcPr>
            <w:tcW w:type="dxa" w:w="5227"/>
            <w:vAlign w:val="center"/>
            <w:shd w:fill="F7F7F7"/>
          </w:tcPr>
          <w:p>
            <w:r/>
            <w:r>
              <w:rPr>
                <w:rFonts w:ascii="Aptos" w:hAnsi="Aptos"/>
                <w:b w:val="0"/>
                <w:color w:val="171717"/>
                <w:sz w:val="14"/>
              </w:rPr>
              <w:t>Effective from</w:t>
            </w:r>
          </w:p>
        </w:tc>
        <w:tc>
          <w:tcPr>
            <w:tcW w:type="dxa" w:w="5227"/>
            <w:vAlign w:val="center"/>
            <w:shd w:fill="F7F7F7"/>
          </w:tcPr>
          <w:p>
            <w:r/>
            <w:r>
              <w:rPr>
                <w:rFonts w:ascii="Aptos" w:hAnsi="Aptos"/>
                <w:b w:val="0"/>
                <w:color w:val="171717"/>
                <w:sz w:val="14"/>
              </w:rPr>
            </w:r>
          </w:p>
        </w:tc>
      </w:tr>
      <w:tr>
        <w:tc>
          <w:tcPr>
            <w:tcW w:type="dxa" w:w="5227"/>
            <w:vAlign w:val="center"/>
          </w:tcPr>
          <w:p>
            <w:r>
              <w:t>Designated Whistleblowing Person</w:t>
            </w:r>
          </w:p>
        </w:tc>
        <w:tc>
          <w:tcPr>
            <w:tcW w:type="dxa" w:w="5227"/>
            <w:vAlign w:val="center"/>
          </w:tcPr>
          <w:p>
            <w:r>
              <w:t>Emma Hobbis, Founder / Principal</w:t>
            </w:r>
          </w:p>
        </w:tc>
      </w:tr>
      <w:tr>
        <w:tc>
          <w:tcPr>
            <w:tcW w:type="dxa" w:w="5227"/>
            <w:vAlign w:val="center"/>
            <w:shd w:fill="F7F7F7"/>
          </w:tcPr>
          <w:p>
            <w:r/>
            <w:r>
              <w:rPr>
                <w:rFonts w:ascii="Aptos" w:hAnsi="Aptos"/>
                <w:b w:val="0"/>
                <w:color w:val="171717"/>
                <w:sz w:val="14"/>
              </w:rPr>
              <w:t>Next planned review</w:t>
            </w:r>
          </w:p>
        </w:tc>
        <w:tc>
          <w:tcPr>
            <w:tcW w:type="dxa" w:w="5227"/>
            <w:vAlign w:val="center"/>
            <w:shd w:fill="F7F7F7"/>
          </w:tcPr>
          <w:p>
            <w:r/>
            <w:r>
              <w:rPr>
                <w:rFonts w:ascii="Aptos" w:hAnsi="Aptos"/>
                <w:b w:val="0"/>
                <w:color w:val="171717"/>
                <w:sz w:val="14"/>
              </w:rPr>
            </w:r>
          </w:p>
        </w:tc>
      </w:tr>
      <w:tr>
        <w:tc>
          <w:tcPr>
            <w:tcW w:type="dxa" w:w="5227"/>
            <w:vAlign w:val="center"/>
          </w:tcPr>
          <w:p>
            <w:r/>
            <w:r>
              <w:rPr>
                <w:rFonts w:ascii="Aptos" w:hAnsi="Aptos"/>
                <w:b w:val="0"/>
                <w:color w:val="171717"/>
                <w:sz w:val="14"/>
              </w:rPr>
              <w:t>Earlier review triggers</w:t>
            </w:r>
          </w:p>
        </w:tc>
        <w:tc>
          <w:tcPr>
            <w:tcW w:type="dxa" w:w="5227"/>
            <w:vAlign w:val="center"/>
          </w:tcPr>
          <w:p>
            <w:r/>
            <w:r>
              <w:rPr>
                <w:rFonts w:ascii="Aptos" w:hAnsi="Aptos"/>
                <w:b w:val="0"/>
                <w:color w:val="171717"/>
                <w:sz w:val="14"/>
              </w:rPr>
              <w:t>Whistleblowing case; retaliation concern; safeguarding learning; governance change; legal/KCSIE update</w:t>
            </w:r>
          </w:p>
        </w:tc>
      </w:tr>
    </w:tbl>
    <w:p/>
    <w:p>
      <w:pPr>
        <w:pStyle w:val="Heading1"/>
      </w:pPr>
      <w:r>
        <w:t>Guidance Basis</w:t>
      </w:r>
    </w:p>
    <w:p>
      <w:r>
        <w:t>Department for Education: Keeping children safe in education 2026, effective 1 September 2026.</w:t>
      </w:r>
    </w:p>
    <w:p>
      <w:r>
        <w:t>GOV.UK: Whistleblowing for employees - what is a whistleblower; who to tell and what to expect.</w:t>
      </w:r>
    </w:p>
    <w:p>
      <w:r>
        <w:t>Department for Business and Trade: Whistleblowing - list of prescribed people and bodies, current list updated June 2026.</w:t>
      </w:r>
    </w:p>
    <w:p>
      <w:r>
        <w:t>Employment Rights Act 1996, as amended, including the public-interest disclosure framework.</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4"/>
      </w:rPr>
      <w:t>STAGEWORKS EDUCATION | WHISTLEBLOWING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7171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