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4"/>
        </w:rPr>
        <w:t>STAGE / EDUCATION</w:t>
      </w:r>
    </w:p>
    <w:p>
      <w:pPr>
        <w:jc w:val="center"/>
      </w:pPr>
      <w:r>
        <w:rPr>
          <w:b/>
          <w:color w:val="B28A45"/>
          <w:sz w:val="44"/>
        </w:rPr>
        <w:t>DATA PROTECTION &amp; GDPR</w:t>
      </w:r>
    </w:p>
    <w:p>
      <w:pPr>
        <w:jc w:val="center"/>
      </w:pPr>
      <w:r>
        <w:rPr>
          <w:b/>
          <w:sz w:val="32"/>
        </w:rPr>
        <w:t>CONFIDENTIALITY &amp; RECORDS MANAGEMENT POLICY</w:t>
      </w:r>
    </w:p>
    <w:tbl>
      <w:tblPr>
        <w:tblW w:type="auto" w:w="0"/>
        <w:tblLook w:firstColumn="1" w:firstRow="1" w:lastColumn="0" w:lastRow="0" w:noHBand="0" w:noVBand="1" w:val="04A0"/>
      </w:tblPr>
      <w:tblGrid>
        <w:gridCol w:w="10368"/>
      </w:tblGrid>
      <w:tr>
        <w:tc>
          <w:tcPr>
            <w:tcW w:type="dxa" w:w="10368"/>
            <w:shd w:fill="F4EFE6"/>
          </w:tcPr>
          <w:p>
            <w:pPr>
              <w:jc w:val="center"/>
            </w:pPr>
            <w:r>
              <w:rPr>
                <w:b/>
                <w:sz w:val="18"/>
              </w:rPr>
              <w:t>Lawful • Fair • Transparent • Secure • Necessary • Accountable</w:t>
            </w:r>
          </w:p>
        </w:tc>
      </w:tr>
    </w:tbl>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DOCUMENT CONTROL</w:t>
            </w:r>
          </w:p>
        </w:tc>
        <w:tc>
          <w:tcPr>
            <w:tcW w:type="dxa" w:w="5184"/>
            <w:shd w:fill="171717"/>
          </w:tcPr>
          <w:p>
            <w:r>
              <w:rPr>
                <w:b/>
                <w:color w:val="FFFFFF"/>
                <w:sz w:val="14"/>
              </w:rPr>
              <w:t>DETAIL</w:t>
            </w:r>
          </w:p>
        </w:tc>
      </w:tr>
      <w:tr>
        <w:tc>
          <w:tcPr>
            <w:tcW w:type="dxa" w:w="5184"/>
          </w:tcPr>
          <w:p>
            <w:r>
              <w:rPr>
                <w:sz w:val="14"/>
              </w:rPr>
              <w:t>Setting</w:t>
            </w:r>
          </w:p>
        </w:tc>
        <w:tc>
          <w:tcPr>
            <w:tcW w:type="dxa" w:w="5184"/>
          </w:tcPr>
          <w:p>
            <w:r>
              <w:rPr>
                <w:sz w:val="14"/>
              </w:rPr>
              <w:t>Stageworks Education</w:t>
            </w:r>
          </w:p>
        </w:tc>
      </w:tr>
      <w:tr>
        <w:tc>
          <w:tcPr>
            <w:tcW w:type="dxa" w:w="5184"/>
            <w:shd w:fill="F7F7F7"/>
          </w:tcPr>
          <w:p>
            <w:r>
              <w:rPr>
                <w:sz w:val="14"/>
              </w:rPr>
              <w:t>Policy owner / Principal</w:t>
            </w:r>
          </w:p>
        </w:tc>
        <w:tc>
          <w:tcPr>
            <w:tcW w:type="dxa" w:w="5184"/>
            <w:shd w:fill="F7F7F7"/>
          </w:tcPr>
          <w:p>
            <w:r>
              <w:rPr>
                <w:sz w:val="14"/>
              </w:rPr>
              <w:t>Emma Hobbis</w:t>
            </w:r>
          </w:p>
        </w:tc>
      </w:tr>
      <w:tr>
        <w:tc>
          <w:tcPr>
            <w:tcW w:type="dxa" w:w="5184"/>
          </w:tcPr>
          <w:p>
            <w:r>
              <w:rPr>
                <w:sz w:val="14"/>
              </w:rPr>
              <w:t>Data protection lead</w:t>
            </w:r>
          </w:p>
        </w:tc>
        <w:tc>
          <w:tcPr>
            <w:tcW w:type="dxa" w:w="5184"/>
          </w:tcPr>
          <w:p>
            <w:r>
              <w:rPr>
                <w:sz w:val="14"/>
              </w:rPr>
              <w:t>Emma Hobbis, unless another person is formally appointed</w:t>
            </w:r>
          </w:p>
        </w:tc>
      </w:tr>
      <w:tr>
        <w:tc>
          <w:tcPr>
            <w:tcW w:type="dxa" w:w="5184"/>
            <w:shd w:fill="F7F7F7"/>
          </w:tcPr>
          <w:p>
            <w:r>
              <w:rPr>
                <w:sz w:val="14"/>
              </w:rPr>
              <w:t>Applies to</w:t>
            </w:r>
          </w:p>
        </w:tc>
        <w:tc>
          <w:tcPr>
            <w:tcW w:type="dxa" w:w="5184"/>
            <w:shd w:fill="F7F7F7"/>
          </w:tcPr>
          <w:p>
            <w:r>
              <w:rPr>
                <w:sz w:val="14"/>
              </w:rPr>
              <w:t>Employees, teachers, volunteers, contractors and anyone handling Stageworks personal information</w:t>
            </w:r>
          </w:p>
        </w:tc>
      </w:tr>
      <w:tr>
        <w:tc>
          <w:tcPr>
            <w:tcW w:type="dxa" w:w="5184"/>
          </w:tcPr>
          <w:p>
            <w:r>
              <w:rPr>
                <w:sz w:val="14"/>
              </w:rPr>
              <w:t>Legislative/guidance basis</w:t>
            </w:r>
          </w:p>
        </w:tc>
        <w:tc>
          <w:tcPr>
            <w:tcW w:type="dxa" w:w="5184"/>
          </w:tcPr>
          <w:p>
            <w:r>
              <w:rPr>
                <w:sz w:val="14"/>
              </w:rPr>
              <w:t>UK GDPR; Data Protection Act 2018; Data (Use and Access) Act changes in force; current ICO and DfE data-protection guidance</w:t>
            </w:r>
          </w:p>
        </w:tc>
      </w:tr>
      <w:tr>
        <w:tc>
          <w:tcPr>
            <w:tcW w:type="dxa" w:w="5184"/>
            <w:shd w:fill="F7F7F7"/>
          </w:tcPr>
          <w:p>
            <w:r>
              <w:rPr>
                <w:sz w:val="14"/>
              </w:rPr>
              <w:t>Read alongside</w:t>
            </w:r>
          </w:p>
        </w:tc>
        <w:tc>
          <w:tcPr>
            <w:tcW w:type="dxa" w:w="5184"/>
            <w:shd w:fill="F7F7F7"/>
          </w:tcPr>
          <w:p>
            <w:r>
              <w:rPr>
                <w:sz w:val="14"/>
              </w:rPr>
              <w:t>Safeguarding &amp; Child Protection; Online Safety/Mobile Phones/Photography/Social Media; Staff Code of Conduct; Safer Recruitment/SCR; First Aid/Medication; SEND &amp; Inclusion; Equality; Whistleblowing</w:t>
            </w:r>
          </w:p>
        </w:tc>
      </w:tr>
      <w:tr>
        <w:tc>
          <w:tcPr>
            <w:tcW w:type="dxa" w:w="5184"/>
          </w:tcPr>
          <w:p>
            <w:r>
              <w:rPr>
                <w:sz w:val="14"/>
              </w:rPr>
              <w:t>Effective date</w:t>
            </w:r>
          </w:p>
        </w:tc>
        <w:tc>
          <w:tcPr>
            <w:tcW w:type="dxa" w:w="5184"/>
          </w:tcPr>
          <w:p>
            <w:r>
              <w:rPr>
                <w:sz w:val="14"/>
              </w:rPr>
              <w:t>1 September 2026</w:t>
            </w:r>
          </w:p>
        </w:tc>
      </w:tr>
      <w:tr>
        <w:tc>
          <w:tcPr>
            <w:tcW w:type="dxa" w:w="5184"/>
            <w:shd w:fill="F7F7F7"/>
          </w:tcPr>
          <w:p>
            <w:r>
              <w:rPr>
                <w:sz w:val="14"/>
              </w:rPr>
              <w:t>Staff briefing</w:t>
            </w:r>
          </w:p>
        </w:tc>
        <w:tc>
          <w:tcPr>
            <w:tcW w:type="dxa" w:w="5184"/>
            <w:shd w:fill="F7F7F7"/>
          </w:tcPr>
          <w:p>
            <w:r>
              <w:rPr>
                <w:sz w:val="14"/>
              </w:rPr>
              <w:t>23 August 2026</w:t>
            </w:r>
          </w:p>
        </w:tc>
      </w:tr>
      <w:tr>
        <w:tc>
          <w:tcPr>
            <w:tcW w:type="dxa" w:w="5184"/>
          </w:tcPr>
          <w:p>
            <w:r>
              <w:rPr>
                <w:sz w:val="14"/>
              </w:rPr>
              <w:t>Review</w:t>
            </w:r>
          </w:p>
        </w:tc>
        <w:tc>
          <w:tcPr>
            <w:tcW w:type="dxa" w:w="5184"/>
          </w:tcPr>
          <w:p>
            <w:r>
              <w:rPr>
                <w:sz w:val="14"/>
              </w:rPr>
              <w:t>August 2027, or earlier following a breach, legal/guidance change or material change in processing</w:t>
            </w:r>
          </w:p>
        </w:tc>
      </w:tr>
    </w:tbl>
    <w:p/>
    <w:p>
      <w:r>
        <w:br w:type="page"/>
      </w:r>
    </w:p>
    <w:p>
      <w:pPr>
        <w:pStyle w:val="Heading1"/>
      </w:pPr>
      <w:r>
        <w:t>1. Purpose</w:t>
      </w:r>
    </w:p>
    <w:p>
      <w:r>
        <w:t>Stageworks Education processes personal information about children, parents/carers, staff, applicants, visitors and other individuals. This policy sets out how that information will be collected, used, shared, stored, accessed, retained and securely destroyed, and how confidentiality will be maintained.</w:t>
      </w:r>
    </w:p>
    <w:p>
      <w:r>
        <w:t>Stageworks Education will be able to explain why it holds information, how it uses it, who can access it and how long it is kept. Data protection is an organisation-wide responsibility.</w:t>
      </w:r>
    </w:p>
    <w:p>
      <w:pPr>
        <w:pStyle w:val="Heading1"/>
      </w:pPr>
      <w:r>
        <w:t>2. Data Protection Principles</w:t>
      </w:r>
    </w:p>
    <w:p>
      <w:pPr>
        <w:spacing w:after="40"/>
      </w:pPr>
      <w:r>
        <w:t xml:space="preserve">• </w:t>
      </w:r>
      <w:r>
        <w:t>Lawfulness, fairness and transparency – personal data is used lawfully, fairly and openly.</w:t>
      </w:r>
    </w:p>
    <w:p>
      <w:pPr>
        <w:spacing w:after="40"/>
      </w:pPr>
      <w:r>
        <w:t xml:space="preserve">• </w:t>
      </w:r>
      <w:r>
        <w:t>Purpose limitation – data is collected for specified, legitimate purposes and is not reused incompatibly.</w:t>
      </w:r>
    </w:p>
    <w:p>
      <w:pPr>
        <w:spacing w:after="40"/>
      </w:pPr>
      <w:r>
        <w:t xml:space="preserve">• </w:t>
      </w:r>
      <w:r>
        <w:t>Data minimisation – only information that is adequate, relevant and necessary is collected.</w:t>
      </w:r>
    </w:p>
    <w:p>
      <w:pPr>
        <w:spacing w:after="40"/>
      </w:pPr>
      <w:r>
        <w:t xml:space="preserve">• </w:t>
      </w:r>
      <w:r>
        <w:t>Accuracy – reasonable steps are taken to keep information accurate and up to date.</w:t>
      </w:r>
    </w:p>
    <w:p>
      <w:pPr>
        <w:spacing w:after="40"/>
      </w:pPr>
      <w:r>
        <w:t xml:space="preserve">• </w:t>
      </w:r>
      <w:r>
        <w:t>Storage limitation – information is not kept for longer than necessary.</w:t>
      </w:r>
    </w:p>
    <w:p>
      <w:pPr>
        <w:spacing w:after="40"/>
      </w:pPr>
      <w:r>
        <w:t xml:space="preserve">• </w:t>
      </w:r>
      <w:r>
        <w:t>Integrity and confidentiality – appropriate physical and digital security protects information.</w:t>
      </w:r>
    </w:p>
    <w:p>
      <w:pPr>
        <w:spacing w:after="40"/>
      </w:pPr>
      <w:r>
        <w:t xml:space="preserve">• </w:t>
      </w:r>
      <w:r>
        <w:t>Accountability – Stageworks keeps appropriate evidence that these principles are being followed.</w:t>
      </w:r>
    </w:p>
    <w:p>
      <w:pPr>
        <w:pStyle w:val="Heading1"/>
      </w:pPr>
      <w:r>
        <w:t>3. Personal Data We May Hold</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CATEGORY</w:t>
            </w:r>
          </w:p>
        </w:tc>
        <w:tc>
          <w:tcPr>
            <w:tcW w:type="dxa" w:w="5184"/>
            <w:shd w:fill="171717"/>
          </w:tcPr>
          <w:p>
            <w:r>
              <w:rPr>
                <w:b/>
                <w:color w:val="FFFFFF"/>
                <w:sz w:val="14"/>
              </w:rPr>
              <w:t>EXAMPLES</w:t>
            </w:r>
          </w:p>
        </w:tc>
      </w:tr>
      <w:tr>
        <w:tc>
          <w:tcPr>
            <w:tcW w:type="dxa" w:w="5184"/>
          </w:tcPr>
          <w:p>
            <w:r>
              <w:rPr>
                <w:sz w:val="14"/>
              </w:rPr>
              <w:t>Pupil identity/contact</w:t>
            </w:r>
          </w:p>
        </w:tc>
        <w:tc>
          <w:tcPr>
            <w:tcW w:type="dxa" w:w="5184"/>
          </w:tcPr>
          <w:p>
            <w:r>
              <w:rPr>
                <w:sz w:val="14"/>
              </w:rPr>
              <w:t>Name, date of birth, address, parent/carer details, emergency contacts.</w:t>
            </w:r>
          </w:p>
        </w:tc>
      </w:tr>
      <w:tr>
        <w:tc>
          <w:tcPr>
            <w:tcW w:type="dxa" w:w="5184"/>
            <w:shd w:fill="F7F7F7"/>
          </w:tcPr>
          <w:p>
            <w:r>
              <w:rPr>
                <w:sz w:val="14"/>
              </w:rPr>
              <w:t>Education/attendance</w:t>
            </w:r>
          </w:p>
        </w:tc>
        <w:tc>
          <w:tcPr>
            <w:tcW w:type="dxa" w:w="5184"/>
            <w:shd w:fill="F7F7F7"/>
          </w:tcPr>
          <w:p>
            <w:r>
              <w:rPr>
                <w:sz w:val="14"/>
              </w:rPr>
              <w:t>Registration, attendance, progress, assessments, participation and relevant communications.</w:t>
            </w:r>
          </w:p>
        </w:tc>
      </w:tr>
      <w:tr>
        <w:tc>
          <w:tcPr>
            <w:tcW w:type="dxa" w:w="5184"/>
          </w:tcPr>
          <w:p>
            <w:r>
              <w:rPr>
                <w:sz w:val="14"/>
              </w:rPr>
              <w:t>Health/medical</w:t>
            </w:r>
          </w:p>
        </w:tc>
        <w:tc>
          <w:tcPr>
            <w:tcW w:type="dxa" w:w="5184"/>
          </w:tcPr>
          <w:p>
            <w:r>
              <w:rPr>
                <w:sz w:val="14"/>
              </w:rPr>
              <w:t>Allergies, anaphylaxis, asthma, diabetes, medication information, medical plans and emergency needs.</w:t>
            </w:r>
          </w:p>
        </w:tc>
      </w:tr>
      <w:tr>
        <w:tc>
          <w:tcPr>
            <w:tcW w:type="dxa" w:w="5184"/>
            <w:shd w:fill="F7F7F7"/>
          </w:tcPr>
          <w:p>
            <w:r>
              <w:rPr>
                <w:sz w:val="14"/>
              </w:rPr>
              <w:t>SEND/accessibility</w:t>
            </w:r>
          </w:p>
        </w:tc>
        <w:tc>
          <w:tcPr>
            <w:tcW w:type="dxa" w:w="5184"/>
            <w:shd w:fill="F7F7F7"/>
          </w:tcPr>
          <w:p>
            <w:r>
              <w:rPr>
                <w:sz w:val="14"/>
              </w:rPr>
              <w:t>Relevant support needs, adjustments and inclusion information.</w:t>
            </w:r>
          </w:p>
        </w:tc>
      </w:tr>
      <w:tr>
        <w:tc>
          <w:tcPr>
            <w:tcW w:type="dxa" w:w="5184"/>
          </w:tcPr>
          <w:p>
            <w:r>
              <w:rPr>
                <w:sz w:val="14"/>
              </w:rPr>
              <w:t>Safeguarding/welfare</w:t>
            </w:r>
          </w:p>
        </w:tc>
        <w:tc>
          <w:tcPr>
            <w:tcW w:type="dxa" w:w="5184"/>
          </w:tcPr>
          <w:p>
            <w:r>
              <w:rPr>
                <w:sz w:val="14"/>
              </w:rPr>
              <w:t>Concerns, disclosures, referrals, chronologies and safeguarding communications.</w:t>
            </w:r>
          </w:p>
        </w:tc>
      </w:tr>
      <w:tr>
        <w:tc>
          <w:tcPr>
            <w:tcW w:type="dxa" w:w="5184"/>
            <w:shd w:fill="F7F7F7"/>
          </w:tcPr>
          <w:p>
            <w:r>
              <w:rPr>
                <w:sz w:val="14"/>
              </w:rPr>
              <w:t>Images/media</w:t>
            </w:r>
          </w:p>
        </w:tc>
        <w:tc>
          <w:tcPr>
            <w:tcW w:type="dxa" w:w="5184"/>
            <w:shd w:fill="F7F7F7"/>
          </w:tcPr>
          <w:p>
            <w:r>
              <w:rPr>
                <w:sz w:val="14"/>
              </w:rPr>
              <w:t>Photographs, video and audio where legitimately captured and used.</w:t>
            </w:r>
          </w:p>
        </w:tc>
      </w:tr>
      <w:tr>
        <w:tc>
          <w:tcPr>
            <w:tcW w:type="dxa" w:w="5184"/>
          </w:tcPr>
          <w:p>
            <w:r>
              <w:rPr>
                <w:sz w:val="14"/>
              </w:rPr>
              <w:t>Staff/recruitment</w:t>
            </w:r>
          </w:p>
        </w:tc>
        <w:tc>
          <w:tcPr>
            <w:tcW w:type="dxa" w:w="5184"/>
          </w:tcPr>
          <w:p>
            <w:r>
              <w:rPr>
                <w:sz w:val="14"/>
              </w:rPr>
              <w:t>Contact details, employment/engagement records, qualifications, references, suitability and safer-recruitment records.</w:t>
            </w:r>
          </w:p>
        </w:tc>
      </w:tr>
      <w:tr>
        <w:tc>
          <w:tcPr>
            <w:tcW w:type="dxa" w:w="5184"/>
            <w:shd w:fill="F7F7F7"/>
          </w:tcPr>
          <w:p>
            <w:r>
              <w:rPr>
                <w:sz w:val="14"/>
              </w:rPr>
              <w:t>Operational/financial</w:t>
            </w:r>
          </w:p>
        </w:tc>
        <w:tc>
          <w:tcPr>
            <w:tcW w:type="dxa" w:w="5184"/>
            <w:shd w:fill="F7F7F7"/>
          </w:tcPr>
          <w:p>
            <w:r>
              <w:rPr>
                <w:sz w:val="14"/>
              </w:rPr>
              <w:t>Fees, invoices, payment records, contracts and necessary business correspondence.</w:t>
            </w:r>
          </w:p>
        </w:tc>
      </w:tr>
      <w:tr>
        <w:tc>
          <w:tcPr>
            <w:tcW w:type="dxa" w:w="5184"/>
          </w:tcPr>
          <w:p>
            <w:r>
              <w:rPr>
                <w:sz w:val="14"/>
              </w:rPr>
              <w:t>Technical</w:t>
            </w:r>
          </w:p>
        </w:tc>
        <w:tc>
          <w:tcPr>
            <w:tcW w:type="dxa" w:w="5184"/>
          </w:tcPr>
          <w:p>
            <w:r>
              <w:rPr>
                <w:sz w:val="14"/>
              </w:rPr>
              <w:t>Account/access information and system records where applicable.</w:t>
            </w:r>
          </w:p>
        </w:tc>
      </w:tr>
    </w:tbl>
    <w:p/>
    <w:p>
      <w:pPr>
        <w:pStyle w:val="Heading1"/>
      </w:pPr>
      <w:r>
        <w:t>4. Special Category and Higher-Risk Information</w:t>
      </w:r>
    </w:p>
    <w:p>
      <w:r>
        <w:t>Health information and some equality-related information are special category data and receive additional protection. Stageworks will identify both an appropriate lawful basis and, where required, a separate special-category condition before processing such information. Safeguarding information may also be highly sensitive and access will be tightly restricted.</w:t>
      </w:r>
    </w:p>
    <w:p>
      <w:pPr>
        <w:spacing w:after="40"/>
      </w:pPr>
      <w:r>
        <w:t xml:space="preserve">• </w:t>
      </w:r>
      <w:r>
        <w:t>Collect only what is genuinely needed.</w:t>
      </w:r>
    </w:p>
    <w:p>
      <w:pPr>
        <w:spacing w:after="40"/>
      </w:pPr>
      <w:r>
        <w:t xml:space="preserve">• </w:t>
      </w:r>
      <w:r>
        <w:t>Limit access to staff who need the information for their role.</w:t>
      </w:r>
    </w:p>
    <w:p>
      <w:pPr>
        <w:spacing w:after="40"/>
      </w:pPr>
      <w:r>
        <w:t xml:space="preserve">• </w:t>
      </w:r>
      <w:r>
        <w:t>Use stronger confidentiality and security where the sensitivity of the information requires it.</w:t>
      </w:r>
    </w:p>
    <w:p>
      <w:pPr>
        <w:spacing w:after="40"/>
      </w:pPr>
      <w:r>
        <w:t xml:space="preserve">• </w:t>
      </w:r>
      <w:r>
        <w:t>Document the basis and purpose for processing where required.</w:t>
      </w:r>
    </w:p>
    <w:p>
      <w:pPr>
        <w:spacing w:after="40"/>
      </w:pPr>
      <w:r>
        <w:t xml:space="preserve">• </w:t>
      </w:r>
      <w:r>
        <w:t>Maintain an Appropriate Policy Document where the chosen Data Protection Act condition requires one.</w:t>
      </w:r>
    </w:p>
    <w:p>
      <w:pPr>
        <w:pStyle w:val="Heading1"/>
      </w:pPr>
      <w:r>
        <w:t>5. Lawful Bases</w:t>
      </w:r>
    </w:p>
    <w:p>
      <w:r>
        <w:t>Stageworks will determine and document the lawful basis that best fits each purpose. Consent is not automatically the correct basis for every activity and will not be used where another basis more accurately reflects the purpose and relationship.</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POSSIBLE BASIS</w:t>
            </w:r>
          </w:p>
        </w:tc>
        <w:tc>
          <w:tcPr>
            <w:tcW w:type="dxa" w:w="5184"/>
            <w:shd w:fill="171717"/>
          </w:tcPr>
          <w:p>
            <w:r>
              <w:rPr>
                <w:b/>
                <w:color w:val="FFFFFF"/>
                <w:sz w:val="14"/>
              </w:rPr>
              <w:t>TYPICAL APPLICATION (SUBJECT TO THE ACTUAL PROCESSING)</w:t>
            </w:r>
          </w:p>
        </w:tc>
      </w:tr>
      <w:tr>
        <w:tc>
          <w:tcPr>
            <w:tcW w:type="dxa" w:w="5184"/>
          </w:tcPr>
          <w:p>
            <w:r>
              <w:rPr>
                <w:sz w:val="14"/>
              </w:rPr>
              <w:t>Contract</w:t>
            </w:r>
          </w:p>
        </w:tc>
        <w:tc>
          <w:tcPr>
            <w:tcW w:type="dxa" w:w="5184"/>
          </w:tcPr>
          <w:p>
            <w:r>
              <w:rPr>
                <w:sz w:val="14"/>
              </w:rPr>
              <w:t>Information necessary to administer an agreed service or engagement.</w:t>
            </w:r>
          </w:p>
        </w:tc>
      </w:tr>
      <w:tr>
        <w:tc>
          <w:tcPr>
            <w:tcW w:type="dxa" w:w="5184"/>
            <w:shd w:fill="F7F7F7"/>
          </w:tcPr>
          <w:p>
            <w:r>
              <w:rPr>
                <w:sz w:val="14"/>
              </w:rPr>
              <w:t>Legal obligation</w:t>
            </w:r>
          </w:p>
        </w:tc>
        <w:tc>
          <w:tcPr>
            <w:tcW w:type="dxa" w:w="5184"/>
            <w:shd w:fill="F7F7F7"/>
          </w:tcPr>
          <w:p>
            <w:r>
              <w:rPr>
                <w:sz w:val="14"/>
              </w:rPr>
              <w:t>Information Stageworks must process to meet a legal duty.</w:t>
            </w:r>
          </w:p>
        </w:tc>
      </w:tr>
      <w:tr>
        <w:tc>
          <w:tcPr>
            <w:tcW w:type="dxa" w:w="5184"/>
          </w:tcPr>
          <w:p>
            <w:r>
              <w:rPr>
                <w:sz w:val="14"/>
              </w:rPr>
              <w:t>Legitimate interests</w:t>
            </w:r>
          </w:p>
        </w:tc>
        <w:tc>
          <w:tcPr>
            <w:tcW w:type="dxa" w:w="5184"/>
          </w:tcPr>
          <w:p>
            <w:r>
              <w:rPr>
                <w:sz w:val="14"/>
              </w:rPr>
              <w:t>Necessary, proportionate processing for legitimate organisational purposes where individual rights do not override those interests.</w:t>
            </w:r>
          </w:p>
        </w:tc>
      </w:tr>
      <w:tr>
        <w:tc>
          <w:tcPr>
            <w:tcW w:type="dxa" w:w="5184"/>
            <w:shd w:fill="F7F7F7"/>
          </w:tcPr>
          <w:p>
            <w:r>
              <w:rPr>
                <w:sz w:val="14"/>
              </w:rPr>
              <w:t>Vital interests</w:t>
            </w:r>
          </w:p>
        </w:tc>
        <w:tc>
          <w:tcPr>
            <w:tcW w:type="dxa" w:w="5184"/>
            <w:shd w:fill="F7F7F7"/>
          </w:tcPr>
          <w:p>
            <w:r>
              <w:rPr>
                <w:sz w:val="14"/>
              </w:rPr>
              <w:t>Urgent use needed to protect someone's life.</w:t>
            </w:r>
          </w:p>
        </w:tc>
      </w:tr>
      <w:tr>
        <w:tc>
          <w:tcPr>
            <w:tcW w:type="dxa" w:w="5184"/>
          </w:tcPr>
          <w:p>
            <w:r>
              <w:rPr>
                <w:sz w:val="14"/>
              </w:rPr>
              <w:t>Consent</w:t>
            </w:r>
          </w:p>
        </w:tc>
        <w:tc>
          <w:tcPr>
            <w:tcW w:type="dxa" w:w="5184"/>
          </w:tcPr>
          <w:p>
            <w:r>
              <w:rPr>
                <w:sz w:val="14"/>
              </w:rPr>
              <w:t>Optional uses where valid, informed and withdrawable consent is appropriate, such as some publicity uses.</w:t>
            </w:r>
          </w:p>
        </w:tc>
      </w:tr>
      <w:tr>
        <w:tc>
          <w:tcPr>
            <w:tcW w:type="dxa" w:w="5184"/>
            <w:shd w:fill="F7F7F7"/>
          </w:tcPr>
          <w:p>
            <w:r>
              <w:rPr>
                <w:sz w:val="14"/>
              </w:rPr>
              <w:t>Public task</w:t>
            </w:r>
          </w:p>
        </w:tc>
        <w:tc>
          <w:tcPr>
            <w:tcW w:type="dxa" w:w="5184"/>
            <w:shd w:fill="F7F7F7"/>
          </w:tcPr>
          <w:p>
            <w:r>
              <w:rPr>
                <w:sz w:val="14"/>
              </w:rPr>
              <w:t>Only where Stageworks is carrying out a task that genuinely falls within this lawful basis.</w:t>
            </w:r>
          </w:p>
        </w:tc>
      </w:tr>
    </w:tbl>
    <w:p/>
    <w:tbl>
      <w:tblPr>
        <w:tblW w:type="auto" w:w="0"/>
        <w:tblLook w:firstColumn="1" w:firstRow="1" w:lastColumn="0" w:lastRow="0" w:noHBand="0" w:noVBand="1" w:val="04A0"/>
      </w:tblPr>
      <w:tblGrid>
        <w:gridCol w:w="10368"/>
      </w:tblGrid>
      <w:tr>
        <w:tc>
          <w:tcPr>
            <w:tcW w:type="dxa" w:w="10368"/>
            <w:shd w:fill="F4DDDD"/>
          </w:tcPr>
          <w:p>
            <w:pPr>
              <w:jc w:val="center"/>
            </w:pPr>
            <w:r>
              <w:rPr>
                <w:b/>
                <w:sz w:val="18"/>
              </w:rPr>
              <w:t>The lawful basis must be chosen for the actual purpose; this policy does not treat one basis as a blanket basis for all processing.</w:t>
            </w:r>
          </w:p>
        </w:tc>
      </w:tr>
    </w:tbl>
    <w:p/>
    <w:p>
      <w:pPr>
        <w:pStyle w:val="Heading1"/>
      </w:pPr>
      <w:r>
        <w:t>6. Children's Information</w:t>
      </w:r>
    </w:p>
    <w:p>
      <w:r>
        <w:t>Children have their own data-protection rights. Information about children will be handled with particular care, using clear and age-appropriate explanations where appropriate. Stageworks will consider the child's best interests, maturity, privacy and safeguarding needs when making decisions about their information.</w:t>
      </w:r>
    </w:p>
    <w:p>
      <w:pPr>
        <w:pStyle w:val="Heading1"/>
      </w:pPr>
      <w:r>
        <w:t>7. Safeguarding and Information Sharing</w:t>
      </w:r>
    </w:p>
    <w:p>
      <w:r>
        <w:t>Data protection law does not prevent necessary and proportionate information sharing to safeguard a child. Consent is not always required for safeguarding sharing. Staff must not delay an urgent safeguarding referral simply because they are unsure about data protection; they should contact the DSL/equivalent and share only what is relevant and necessary.</w:t>
      </w:r>
    </w:p>
    <w:p>
      <w:pPr>
        <w:spacing w:after="40"/>
      </w:pPr>
      <w:r>
        <w:t xml:space="preserve">• </w:t>
      </w:r>
      <w:r>
        <w:t>Record what was shared, with whom, when and why where appropriate.</w:t>
      </w:r>
    </w:p>
    <w:p>
      <w:pPr>
        <w:spacing w:after="40"/>
      </w:pPr>
      <w:r>
        <w:t xml:space="preserve">• </w:t>
      </w:r>
      <w:r>
        <w:t>Use secure methods wherever practicable.</w:t>
      </w:r>
    </w:p>
    <w:p>
      <w:pPr>
        <w:spacing w:after="40"/>
      </w:pPr>
      <w:r>
        <w:t xml:space="preserve">• </w:t>
      </w:r>
      <w:r>
        <w:t>Do not routinely copy safeguarding information to people who do not need it.</w:t>
      </w:r>
    </w:p>
    <w:p>
      <w:pPr>
        <w:spacing w:after="40"/>
      </w:pPr>
      <w:r>
        <w:t xml:space="preserve">• </w:t>
      </w:r>
      <w:r>
        <w:t>Follow the safeguarding policy for referrals and transfers of safeguarding records.</w:t>
      </w:r>
    </w:p>
    <w:p>
      <w:r>
        <w:br w:type="page"/>
      </w:r>
    </w:p>
    <w:p>
      <w:pPr>
        <w:pStyle w:val="Heading1"/>
      </w:pPr>
      <w:r>
        <w:t>8. Confidentiality</w:t>
      </w:r>
    </w:p>
    <w:p>
      <w:pPr>
        <w:spacing w:after="40"/>
      </w:pPr>
      <w:r>
        <w:t xml:space="preserve">• </w:t>
      </w:r>
      <w:r>
        <w:t>Personal information is shared internally only on a need-to-know basis.</w:t>
      </w:r>
    </w:p>
    <w:p>
      <w:pPr>
        <w:spacing w:after="40"/>
      </w:pPr>
      <w:r>
        <w:t xml:space="preserve">• </w:t>
      </w:r>
      <w:r>
        <w:t>Staff must not discuss pupils, families, colleagues or safeguarding matters in public areas or with unauthorised people.</w:t>
      </w:r>
    </w:p>
    <w:p>
      <w:pPr>
        <w:spacing w:after="40"/>
      </w:pPr>
      <w:r>
        <w:t xml:space="preserve">• </w:t>
      </w:r>
      <w:r>
        <w:t>Confidential papers must not be left unattended where pupils, visitors or unauthorised staff can view them.</w:t>
      </w:r>
    </w:p>
    <w:p>
      <w:pPr>
        <w:spacing w:after="40"/>
      </w:pPr>
      <w:r>
        <w:t xml:space="preserve">• </w:t>
      </w:r>
      <w:r>
        <w:t>Staff must not use personal messaging, personal email or personal cloud storage for confidential Stageworks information unless specifically authorised and appropriately secured.</w:t>
      </w:r>
    </w:p>
    <w:p>
      <w:pPr>
        <w:spacing w:after="40"/>
      </w:pPr>
      <w:r>
        <w:t xml:space="preserve">• </w:t>
      </w:r>
      <w:r>
        <w:t>Passwords, access codes and confidential documents must not be casually shared.</w:t>
      </w:r>
    </w:p>
    <w:p>
      <w:pPr>
        <w:spacing w:after="40"/>
      </w:pPr>
      <w:r>
        <w:t xml:space="preserve">• </w:t>
      </w:r>
      <w:r>
        <w:t>Confidentiality continues after a person's employment, volunteering or engagement ends.</w:t>
      </w:r>
    </w:p>
    <w:p>
      <w:pPr>
        <w:spacing w:after="40"/>
      </w:pPr>
      <w:r>
        <w:t xml:space="preserve">• </w:t>
      </w:r>
      <w:r>
        <w:t>Confidentiality is not secrecy: safeguarding, legal or regulatory duties can require information to be shared.</w:t>
      </w:r>
    </w:p>
    <w:p>
      <w:pPr>
        <w:pStyle w:val="Heading1"/>
      </w:pPr>
      <w:r>
        <w:t>9. Paper Records</w:t>
      </w:r>
    </w:p>
    <w:p>
      <w:r>
        <w:t>Paper records containing personal or confidential information will be stored securely. Where Stageworks uses locked filing storage behind reception, access will be restricted to authorised staff and the cabinet must remain secured when unattended.</w:t>
      </w:r>
    </w:p>
    <w:p>
      <w:pPr>
        <w:spacing w:after="40"/>
      </w:pPr>
      <w:r>
        <w:t xml:space="preserve">• </w:t>
      </w:r>
      <w:r>
        <w:t>Do not leave registers, medical forms, safeguarding notes or staff records visible to unauthorised people.</w:t>
      </w:r>
    </w:p>
    <w:p>
      <w:pPr>
        <w:spacing w:after="40"/>
      </w:pPr>
      <w:r>
        <w:t xml:space="preserve">• </w:t>
      </w:r>
      <w:r>
        <w:t>Return files promptly after use.</w:t>
      </w:r>
    </w:p>
    <w:p>
      <w:pPr>
        <w:spacing w:after="40"/>
      </w:pPr>
      <w:r>
        <w:t xml:space="preserve">• </w:t>
      </w:r>
      <w:r>
        <w:t>Transport paper records only where necessary and keep them secure.</w:t>
      </w:r>
    </w:p>
    <w:p>
      <w:pPr>
        <w:spacing w:after="40"/>
      </w:pPr>
      <w:r>
        <w:t xml:space="preserve">• </w:t>
      </w:r>
      <w:r>
        <w:t>Dispose of confidential paper by secure shredding rather than ordinary waste.</w:t>
      </w:r>
    </w:p>
    <w:p>
      <w:pPr>
        <w:pStyle w:val="Heading1"/>
      </w:pPr>
      <w:r>
        <w:t>10. Electronic Records and Cyber Security</w:t>
      </w:r>
    </w:p>
    <w:p>
      <w:pPr>
        <w:spacing w:after="40"/>
      </w:pPr>
      <w:r>
        <w:t xml:space="preserve">• </w:t>
      </w:r>
      <w:r>
        <w:t>Use authorised accounts and systems for Stageworks information.</w:t>
      </w:r>
    </w:p>
    <w:p>
      <w:pPr>
        <w:spacing w:after="40"/>
      </w:pPr>
      <w:r>
        <w:t xml:space="preserve">• </w:t>
      </w:r>
      <w:r>
        <w:t>Use strong passwords and appropriate access controls.</w:t>
      </w:r>
    </w:p>
    <w:p>
      <w:pPr>
        <w:spacing w:after="40"/>
      </w:pPr>
      <w:r>
        <w:t xml:space="preserve">• </w:t>
      </w:r>
      <w:r>
        <w:t>Lock devices/screens when unattended.</w:t>
      </w:r>
    </w:p>
    <w:p>
      <w:pPr>
        <w:spacing w:after="40"/>
      </w:pPr>
      <w:r>
        <w:t xml:space="preserve">• </w:t>
      </w:r>
      <w:r>
        <w:t>Do not download confidential records to personal devices unless expressly authorised and appropriately protected.</w:t>
      </w:r>
    </w:p>
    <w:p>
      <w:pPr>
        <w:spacing w:after="40"/>
      </w:pPr>
      <w:r>
        <w:t xml:space="preserve">• </w:t>
      </w:r>
      <w:r>
        <w:t>Keep software/devices reasonably secure and updated where Stageworks controls them.</w:t>
      </w:r>
    </w:p>
    <w:p>
      <w:pPr>
        <w:spacing w:after="40"/>
      </w:pPr>
      <w:r>
        <w:t xml:space="preserve">• </w:t>
      </w:r>
      <w:r>
        <w:t>Report lost devices, compromised accounts, phishing, misdirected emails and other suspected breaches immediately.</w:t>
      </w:r>
    </w:p>
    <w:p>
      <w:pPr>
        <w:spacing w:after="40"/>
      </w:pPr>
      <w:r>
        <w:t xml:space="preserve">• </w:t>
      </w:r>
      <w:r>
        <w:t>Use secure sharing methods for sensitive information.</w:t>
      </w:r>
    </w:p>
    <w:p>
      <w:pPr>
        <w:pStyle w:val="Heading1"/>
      </w:pPr>
      <w:r>
        <w:t>11. Photography, Video and Digital Media</w:t>
      </w:r>
    </w:p>
    <w:p>
      <w:r>
        <w:t>Photographs, video and audio containing identifiable people are personal data. Their capture, storage, publication and deletion must follow the Online Safety, Mobile Phones, Photography &amp; Social Media Policy. Consent or another appropriate lawful basis must match the intended use, and safeguarding restrictions always take priority.</w:t>
      </w:r>
    </w:p>
    <w:p>
      <w:pPr>
        <w:pStyle w:val="Heading1"/>
      </w:pPr>
      <w:r>
        <w:t>12. Accuracy and Updating Records</w:t>
      </w:r>
    </w:p>
    <w:p>
      <w:pPr>
        <w:spacing w:after="40"/>
      </w:pPr>
      <w:r>
        <w:t xml:space="preserve">• </w:t>
      </w:r>
      <w:r>
        <w:t>Parents/carers and staff should be encouraged to update contact, medical and emergency information when it changes.</w:t>
      </w:r>
    </w:p>
    <w:p>
      <w:pPr>
        <w:spacing w:after="40"/>
      </w:pPr>
      <w:r>
        <w:t xml:space="preserve">• </w:t>
      </w:r>
      <w:r>
        <w:t>Material inaccuracies should be corrected without undue delay where appropriate.</w:t>
      </w:r>
    </w:p>
    <w:p>
      <w:pPr>
        <w:spacing w:after="40"/>
      </w:pPr>
      <w:r>
        <w:t xml:space="preserve">• </w:t>
      </w:r>
      <w:r>
        <w:t>Changes to medical, allergy, medication or emergency information should be communicated promptly to the relevant staff.</w:t>
      </w:r>
    </w:p>
    <w:p>
      <w:pPr>
        <w:spacing w:after="40"/>
      </w:pPr>
      <w:r>
        <w:t xml:space="preserve">• </w:t>
      </w:r>
      <w:r>
        <w:t>Historic factual records should not be rewritten simply because an individual later disagrees with them; corrections, annotations or supplementary records may be appropriate depending on the circumstances.</w:t>
      </w:r>
    </w:p>
    <w:p>
      <w:pPr>
        <w:pStyle w:val="Heading1"/>
      </w:pPr>
      <w:r>
        <w:t>13. Access to Records and Individual Rights</w:t>
      </w:r>
    </w:p>
    <w:p>
      <w:r>
        <w:t>Individuals have data-protection rights that may include access, rectification, erasure, restriction, objection and rights concerning certain automated decisions. The exact right depends on the circumstances and lawful basis. Requests should be passed promptly to the data protection lead rather than answered informally.</w:t>
      </w:r>
    </w:p>
    <w:p>
      <w:pPr>
        <w:spacing w:after="40"/>
      </w:pPr>
      <w:r>
        <w:t xml:space="preserve">• </w:t>
      </w:r>
      <w:r>
        <w:t>Identity may need to be verified before information is released.</w:t>
      </w:r>
    </w:p>
    <w:p>
      <w:pPr>
        <w:spacing w:after="40"/>
      </w:pPr>
      <w:r>
        <w:t xml:space="preserve">• </w:t>
      </w:r>
      <w:r>
        <w:t>Information about other people must be considered before disclosure.</w:t>
      </w:r>
    </w:p>
    <w:p>
      <w:pPr>
        <w:spacing w:after="40"/>
      </w:pPr>
      <w:r>
        <w:t xml:space="preserve">• </w:t>
      </w:r>
      <w:r>
        <w:t>Safeguarding and other legal exemptions may affect what can be provided.</w:t>
      </w:r>
    </w:p>
    <w:p>
      <w:pPr>
        <w:spacing w:after="40"/>
      </w:pPr>
      <w:r>
        <w:t xml:space="preserve">• </w:t>
      </w:r>
      <w:r>
        <w:t>Stageworks will respond within the applicable legal timeframe.</w:t>
      </w:r>
    </w:p>
    <w:p>
      <w:pPr>
        <w:spacing w:after="40"/>
      </w:pPr>
      <w:r>
        <w:t xml:space="preserve">• </w:t>
      </w:r>
      <w:r>
        <w:t>Staff must preserve relevant records when a request has been received and must not delete information to avoid disclosure.</w:t>
      </w:r>
    </w:p>
    <w:p>
      <w:pPr>
        <w:pStyle w:val="Heading1"/>
      </w:pPr>
      <w:r>
        <w:t>14. Requests From Parents/Carers and Children</w:t>
      </w:r>
    </w:p>
    <w:p>
      <w:r>
        <w:t>A child's information belongs to the child for data-protection purposes. Stageworks will consider the child's age, competence, the nature of the request, parental responsibility and any safeguarding implications when deciding how a request should be handled. Requests will be referred to the data protection lead.</w:t>
      </w:r>
    </w:p>
    <w:p>
      <w:pPr>
        <w:pStyle w:val="Heading1"/>
      </w:pPr>
      <w:r>
        <w:t>15. Data Sharing With Third Parties</w:t>
      </w:r>
    </w:p>
    <w:p>
      <w:pPr>
        <w:spacing w:after="40"/>
      </w:pPr>
      <w:r>
        <w:t xml:space="preserve">• </w:t>
      </w:r>
      <w:r>
        <w:t>Share only information that is necessary for a clear purpose.</w:t>
      </w:r>
    </w:p>
    <w:p>
      <w:pPr>
        <w:spacing w:after="40"/>
      </w:pPr>
      <w:r>
        <w:t xml:space="preserve">• </w:t>
      </w:r>
      <w:r>
        <w:t>Check the recipient and authority to receive the information.</w:t>
      </w:r>
    </w:p>
    <w:p>
      <w:pPr>
        <w:spacing w:after="40"/>
      </w:pPr>
      <w:r>
        <w:t xml:space="preserve">• </w:t>
      </w:r>
      <w:r>
        <w:t>Use data-processing or data-sharing arrangements where required.</w:t>
      </w:r>
    </w:p>
    <w:p>
      <w:pPr>
        <w:spacing w:after="40"/>
      </w:pPr>
      <w:r>
        <w:t xml:space="preserve">• </w:t>
      </w:r>
      <w:r>
        <w:t>Third-party systems/providers handling personal data on Stageworks' behalf should provide appropriate data-protection and security assurances.</w:t>
      </w:r>
    </w:p>
    <w:p>
      <w:pPr>
        <w:spacing w:after="40"/>
      </w:pPr>
      <w:r>
        <w:t xml:space="preserve">• </w:t>
      </w:r>
      <w:r>
        <w:t>Do not disclose information simply because someone asks for it.</w:t>
      </w:r>
    </w:p>
    <w:p>
      <w:pPr>
        <w:spacing w:after="40"/>
      </w:pPr>
      <w:r>
        <w:t xml:space="preserve">• </w:t>
      </w:r>
      <w:r>
        <w:t>Record significant or sensitive disclosures where appropriate.</w:t>
      </w:r>
    </w:p>
    <w:p>
      <w:pPr>
        <w:pStyle w:val="Heading1"/>
      </w:pPr>
      <w:r>
        <w:t>16. Records of Processing and Data Audit</w:t>
      </w:r>
    </w:p>
    <w:p>
      <w:r>
        <w:t>Stageworks will maintain proportionate documentation of the information it holds and how it is processed. This may include the category of data, purpose, lawful basis, special-category condition where applicable, source, recipients, access controls, storage location, retention period and disposal method.</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DATA AUDIT FIELD</w:t>
            </w:r>
          </w:p>
        </w:tc>
        <w:tc>
          <w:tcPr>
            <w:tcW w:type="dxa" w:w="5184"/>
            <w:shd w:fill="171717"/>
          </w:tcPr>
          <w:p>
            <w:r>
              <w:rPr>
                <w:b/>
                <w:color w:val="FFFFFF"/>
                <w:sz w:val="14"/>
              </w:rPr>
              <w:t>TO RECORD</w:t>
            </w:r>
          </w:p>
        </w:tc>
      </w:tr>
      <w:tr>
        <w:tc>
          <w:tcPr>
            <w:tcW w:type="dxa" w:w="5184"/>
          </w:tcPr>
          <w:p>
            <w:r>
              <w:rPr>
                <w:sz w:val="14"/>
              </w:rPr>
              <w:t>Data item/category</w:t>
            </w:r>
          </w:p>
        </w:tc>
        <w:tc>
          <w:tcPr>
            <w:tcW w:type="dxa" w:w="5184"/>
          </w:tcPr>
          <w:p>
            <w:r>
              <w:rPr>
                <w:sz w:val="14"/>
              </w:rPr>
              <w:t>What information is held.</w:t>
            </w:r>
          </w:p>
        </w:tc>
      </w:tr>
      <w:tr>
        <w:tc>
          <w:tcPr>
            <w:tcW w:type="dxa" w:w="5184"/>
            <w:shd w:fill="F7F7F7"/>
          </w:tcPr>
          <w:p>
            <w:r>
              <w:rPr>
                <w:sz w:val="14"/>
              </w:rPr>
              <w:t>Purpose</w:t>
            </w:r>
          </w:p>
        </w:tc>
        <w:tc>
          <w:tcPr>
            <w:tcW w:type="dxa" w:w="5184"/>
            <w:shd w:fill="F7F7F7"/>
          </w:tcPr>
          <w:p>
            <w:r>
              <w:rPr>
                <w:sz w:val="14"/>
              </w:rPr>
              <w:t>Why it is needed.</w:t>
            </w:r>
          </w:p>
        </w:tc>
      </w:tr>
      <w:tr>
        <w:tc>
          <w:tcPr>
            <w:tcW w:type="dxa" w:w="5184"/>
          </w:tcPr>
          <w:p>
            <w:r>
              <w:rPr>
                <w:sz w:val="14"/>
              </w:rPr>
              <w:t>People covered</w:t>
            </w:r>
          </w:p>
        </w:tc>
        <w:tc>
          <w:tcPr>
            <w:tcW w:type="dxa" w:w="5184"/>
          </w:tcPr>
          <w:p>
            <w:r>
              <w:rPr>
                <w:sz w:val="14"/>
              </w:rPr>
              <w:t>Pupils, parents, staff, applicants etc.</w:t>
            </w:r>
          </w:p>
        </w:tc>
      </w:tr>
      <w:tr>
        <w:tc>
          <w:tcPr>
            <w:tcW w:type="dxa" w:w="5184"/>
            <w:shd w:fill="F7F7F7"/>
          </w:tcPr>
          <w:p>
            <w:r>
              <w:rPr>
                <w:sz w:val="14"/>
              </w:rPr>
              <w:t>Lawful basis</w:t>
            </w:r>
          </w:p>
        </w:tc>
        <w:tc>
          <w:tcPr>
            <w:tcW w:type="dxa" w:w="5184"/>
            <w:shd w:fill="F7F7F7"/>
          </w:tcPr>
          <w:p>
            <w:r>
              <w:rPr>
                <w:sz w:val="14"/>
              </w:rPr>
              <w:t>Article 6 basis used.</w:t>
            </w:r>
          </w:p>
        </w:tc>
      </w:tr>
      <w:tr>
        <w:tc>
          <w:tcPr>
            <w:tcW w:type="dxa" w:w="5184"/>
          </w:tcPr>
          <w:p>
            <w:r>
              <w:rPr>
                <w:sz w:val="14"/>
              </w:rPr>
              <w:t>Special-category condition</w:t>
            </w:r>
          </w:p>
        </w:tc>
        <w:tc>
          <w:tcPr>
            <w:tcW w:type="dxa" w:w="5184"/>
          </w:tcPr>
          <w:p>
            <w:r>
              <w:rPr>
                <w:sz w:val="14"/>
              </w:rPr>
              <w:t>Where applicable.</w:t>
            </w:r>
          </w:p>
        </w:tc>
      </w:tr>
      <w:tr>
        <w:tc>
          <w:tcPr>
            <w:tcW w:type="dxa" w:w="5184"/>
            <w:shd w:fill="F7F7F7"/>
          </w:tcPr>
          <w:p>
            <w:r>
              <w:rPr>
                <w:sz w:val="14"/>
              </w:rPr>
              <w:t>Storage/access</w:t>
            </w:r>
          </w:p>
        </w:tc>
        <w:tc>
          <w:tcPr>
            <w:tcW w:type="dxa" w:w="5184"/>
            <w:shd w:fill="F7F7F7"/>
          </w:tcPr>
          <w:p>
            <w:r>
              <w:rPr>
                <w:sz w:val="14"/>
              </w:rPr>
              <w:t>Where held and who can access.</w:t>
            </w:r>
          </w:p>
        </w:tc>
      </w:tr>
      <w:tr>
        <w:tc>
          <w:tcPr>
            <w:tcW w:type="dxa" w:w="5184"/>
          </w:tcPr>
          <w:p>
            <w:r>
              <w:rPr>
                <w:sz w:val="14"/>
              </w:rPr>
              <w:t>Sharing</w:t>
            </w:r>
          </w:p>
        </w:tc>
        <w:tc>
          <w:tcPr>
            <w:tcW w:type="dxa" w:w="5184"/>
          </w:tcPr>
          <w:p>
            <w:r>
              <w:rPr>
                <w:sz w:val="14"/>
              </w:rPr>
              <w:t>Who receives it and why.</w:t>
            </w:r>
          </w:p>
        </w:tc>
      </w:tr>
      <w:tr>
        <w:tc>
          <w:tcPr>
            <w:tcW w:type="dxa" w:w="5184"/>
            <w:shd w:fill="F7F7F7"/>
          </w:tcPr>
          <w:p>
            <w:r>
              <w:rPr>
                <w:sz w:val="14"/>
              </w:rPr>
              <w:t>Retention</w:t>
            </w:r>
          </w:p>
        </w:tc>
        <w:tc>
          <w:tcPr>
            <w:tcW w:type="dxa" w:w="5184"/>
            <w:shd w:fill="F7F7F7"/>
          </w:tcPr>
          <w:p>
            <w:r>
              <w:rPr>
                <w:sz w:val="14"/>
              </w:rPr>
              <w:t>How long it is needed and justification.</w:t>
            </w:r>
          </w:p>
        </w:tc>
      </w:tr>
      <w:tr>
        <w:tc>
          <w:tcPr>
            <w:tcW w:type="dxa" w:w="5184"/>
          </w:tcPr>
          <w:p>
            <w:r>
              <w:rPr>
                <w:sz w:val="14"/>
              </w:rPr>
              <w:t>Disposal</w:t>
            </w:r>
          </w:p>
        </w:tc>
        <w:tc>
          <w:tcPr>
            <w:tcW w:type="dxa" w:w="5184"/>
          </w:tcPr>
          <w:p>
            <w:r>
              <w:rPr>
                <w:sz w:val="14"/>
              </w:rPr>
              <w:t>How it will be securely destroyed/deleted.</w:t>
            </w:r>
          </w:p>
        </w:tc>
      </w:tr>
    </w:tbl>
    <w:p/>
    <w:p>
      <w:r>
        <w:br w:type="page"/>
      </w:r>
    </w:p>
    <w:p>
      <w:pPr>
        <w:pStyle w:val="Heading1"/>
      </w:pPr>
      <w:r>
        <w:t>17. Records Retention</w:t>
      </w:r>
    </w:p>
    <w:p>
      <w:r>
        <w:t>Stageworks will not adopt arbitrary blanket retention periods. Retention will be based on the purpose, legal requirements, safeguarding needs, limitation periods, insurance requirements and legitimate operational need. A separate Records Retention Schedule should be maintained and reviewed at least annually.</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RECORD TYPE</w:t>
            </w:r>
          </w:p>
        </w:tc>
        <w:tc>
          <w:tcPr>
            <w:tcW w:type="dxa" w:w="5184"/>
            <w:shd w:fill="171717"/>
          </w:tcPr>
          <w:p>
            <w:r>
              <w:rPr>
                <w:b/>
                <w:color w:val="FFFFFF"/>
                <w:sz w:val="14"/>
              </w:rPr>
              <w:t>POLICY APPROACH</w:t>
            </w:r>
          </w:p>
        </w:tc>
      </w:tr>
      <w:tr>
        <w:tc>
          <w:tcPr>
            <w:tcW w:type="dxa" w:w="5184"/>
          </w:tcPr>
          <w:p>
            <w:r>
              <w:rPr>
                <w:sz w:val="14"/>
              </w:rPr>
              <w:t>Pupil registration/contact</w:t>
            </w:r>
          </w:p>
        </w:tc>
        <w:tc>
          <w:tcPr>
            <w:tcW w:type="dxa" w:w="5184"/>
          </w:tcPr>
          <w:p>
            <w:r>
              <w:rPr>
                <w:sz w:val="14"/>
              </w:rPr>
              <w:t>Retain only while needed for administration and any justified post-leaving period set in the retention schedule.</w:t>
            </w:r>
          </w:p>
        </w:tc>
      </w:tr>
      <w:tr>
        <w:tc>
          <w:tcPr>
            <w:tcW w:type="dxa" w:w="5184"/>
            <w:shd w:fill="F7F7F7"/>
          </w:tcPr>
          <w:p>
            <w:r>
              <w:rPr>
                <w:sz w:val="14"/>
              </w:rPr>
              <w:t>Attendance/progress</w:t>
            </w:r>
          </w:p>
        </w:tc>
        <w:tc>
          <w:tcPr>
            <w:tcW w:type="dxa" w:w="5184"/>
            <w:shd w:fill="F7F7F7"/>
          </w:tcPr>
          <w:p>
            <w:r>
              <w:rPr>
                <w:sz w:val="14"/>
              </w:rPr>
              <w:t>Retain for the documented operational/legal period in the schedule.</w:t>
            </w:r>
          </w:p>
        </w:tc>
      </w:tr>
      <w:tr>
        <w:tc>
          <w:tcPr>
            <w:tcW w:type="dxa" w:w="5184"/>
          </w:tcPr>
          <w:p>
            <w:r>
              <w:rPr>
                <w:sz w:val="14"/>
              </w:rPr>
              <w:t>Medical/allergy/medication</w:t>
            </w:r>
          </w:p>
        </w:tc>
        <w:tc>
          <w:tcPr>
            <w:tcW w:type="dxa" w:w="5184"/>
          </w:tcPr>
          <w:p>
            <w:r>
              <w:rPr>
                <w:sz w:val="14"/>
              </w:rPr>
              <w:t>Retain according to documented health/safety, safeguarding and legal need; restrict access.</w:t>
            </w:r>
          </w:p>
        </w:tc>
      </w:tr>
      <w:tr>
        <w:tc>
          <w:tcPr>
            <w:tcW w:type="dxa" w:w="5184"/>
            <w:shd w:fill="F7F7F7"/>
          </w:tcPr>
          <w:p>
            <w:r>
              <w:rPr>
                <w:sz w:val="14"/>
              </w:rPr>
              <w:t>Safeguarding/child protection</w:t>
            </w:r>
          </w:p>
        </w:tc>
        <w:tc>
          <w:tcPr>
            <w:tcW w:type="dxa" w:w="5184"/>
            <w:shd w:fill="F7F7F7"/>
          </w:tcPr>
          <w:p>
            <w:r>
              <w:rPr>
                <w:sz w:val="14"/>
              </w:rPr>
              <w:t>Retain/transfer in accordance with current safeguarding requirements and the documented retention schedule; do not apply ordinary administrative deletion rules.</w:t>
            </w:r>
          </w:p>
        </w:tc>
      </w:tr>
      <w:tr>
        <w:tc>
          <w:tcPr>
            <w:tcW w:type="dxa" w:w="5184"/>
          </w:tcPr>
          <w:p>
            <w:r>
              <w:rPr>
                <w:sz w:val="14"/>
              </w:rPr>
              <w:t>Accident/incident</w:t>
            </w:r>
          </w:p>
        </w:tc>
        <w:tc>
          <w:tcPr>
            <w:tcW w:type="dxa" w:w="5184"/>
          </w:tcPr>
          <w:p>
            <w:r>
              <w:rPr>
                <w:sz w:val="14"/>
              </w:rPr>
              <w:t>Retain for the relevant legal/insurance period documented in the schedule.</w:t>
            </w:r>
          </w:p>
        </w:tc>
      </w:tr>
      <w:tr>
        <w:tc>
          <w:tcPr>
            <w:tcW w:type="dxa" w:w="5184"/>
            <w:shd w:fill="F7F7F7"/>
          </w:tcPr>
          <w:p>
            <w:r>
              <w:rPr>
                <w:sz w:val="14"/>
              </w:rPr>
              <w:t>Images/video</w:t>
            </w:r>
          </w:p>
        </w:tc>
        <w:tc>
          <w:tcPr>
            <w:tcW w:type="dxa" w:w="5184"/>
            <w:shd w:fill="F7F7F7"/>
          </w:tcPr>
          <w:p>
            <w:r>
              <w:rPr>
                <w:sz w:val="14"/>
              </w:rPr>
              <w:t>Retain only for the stated purpose and review/delete when no longer needed.</w:t>
            </w:r>
          </w:p>
        </w:tc>
      </w:tr>
      <w:tr>
        <w:tc>
          <w:tcPr>
            <w:tcW w:type="dxa" w:w="5184"/>
          </w:tcPr>
          <w:p>
            <w:r>
              <w:rPr>
                <w:sz w:val="14"/>
              </w:rPr>
              <w:t>Staff/recruitment/SCR</w:t>
            </w:r>
          </w:p>
        </w:tc>
        <w:tc>
          <w:tcPr>
            <w:tcW w:type="dxa" w:w="5184"/>
          </w:tcPr>
          <w:p>
            <w:r>
              <w:rPr>
                <w:sz w:val="14"/>
              </w:rPr>
              <w:t>Retain according to safer-recruitment, employment, safeguarding and legal requirements documented in the schedule.</w:t>
            </w:r>
          </w:p>
        </w:tc>
      </w:tr>
      <w:tr>
        <w:tc>
          <w:tcPr>
            <w:tcW w:type="dxa" w:w="5184"/>
            <w:shd w:fill="F7F7F7"/>
          </w:tcPr>
          <w:p>
            <w:r>
              <w:rPr>
                <w:sz w:val="14"/>
              </w:rPr>
              <w:t>Financial records</w:t>
            </w:r>
          </w:p>
        </w:tc>
        <w:tc>
          <w:tcPr>
            <w:tcW w:type="dxa" w:w="5184"/>
            <w:shd w:fill="F7F7F7"/>
          </w:tcPr>
          <w:p>
            <w:r>
              <w:rPr>
                <w:sz w:val="14"/>
              </w:rPr>
              <w:t>Retain for applicable accounting/tax/legal requirements.</w:t>
            </w:r>
          </w:p>
        </w:tc>
      </w:tr>
      <w:tr>
        <w:tc>
          <w:tcPr>
            <w:tcW w:type="dxa" w:w="5184"/>
          </w:tcPr>
          <w:p>
            <w:r>
              <w:rPr>
                <w:sz w:val="14"/>
              </w:rPr>
              <w:t>Unsuccessful applicants</w:t>
            </w:r>
          </w:p>
        </w:tc>
        <w:tc>
          <w:tcPr>
            <w:tcW w:type="dxa" w:w="5184"/>
          </w:tcPr>
          <w:p>
            <w:r>
              <w:rPr>
                <w:sz w:val="14"/>
              </w:rPr>
              <w:t>Retain only for a justified and documented period.</w:t>
            </w:r>
          </w:p>
        </w:tc>
      </w:tr>
      <w:tr>
        <w:tc>
          <w:tcPr>
            <w:tcW w:type="dxa" w:w="5184"/>
            <w:shd w:fill="F7F7F7"/>
          </w:tcPr>
          <w:p>
            <w:r>
              <w:rPr>
                <w:sz w:val="14"/>
              </w:rPr>
              <w:t>Data-subject requests/breaches</w:t>
            </w:r>
          </w:p>
        </w:tc>
        <w:tc>
          <w:tcPr>
            <w:tcW w:type="dxa" w:w="5184"/>
            <w:shd w:fill="F7F7F7"/>
          </w:tcPr>
          <w:p>
            <w:r>
              <w:rPr>
                <w:sz w:val="14"/>
              </w:rPr>
              <w:t>Retain for a documented period sufficient to evidence compliance and manage any related claims/regulatory matters.</w:t>
            </w:r>
          </w:p>
        </w:tc>
      </w:tr>
    </w:tbl>
    <w:p/>
    <w:tbl>
      <w:tblPr>
        <w:tblW w:type="auto" w:w="0"/>
        <w:tblLook w:firstColumn="1" w:firstRow="1" w:lastColumn="0" w:lastRow="0" w:noHBand="0" w:noVBand="1" w:val="04A0"/>
      </w:tblPr>
      <w:tblGrid>
        <w:gridCol w:w="10368"/>
      </w:tblGrid>
      <w:tr>
        <w:tc>
          <w:tcPr>
            <w:tcW w:type="dxa" w:w="10368"/>
            <w:shd w:fill="F4EFE6"/>
          </w:tcPr>
          <w:p>
            <w:pPr>
              <w:jc w:val="center"/>
            </w:pPr>
            <w:r>
              <w:rPr>
                <w:b/>
                <w:sz w:val="18"/>
              </w:rPr>
              <w:t>A detailed retention schedule should sit behind this policy. Data protection law generally requires Stageworks to justify and document its retention periods rather than keeping records 'just in case'.</w:t>
            </w:r>
          </w:p>
        </w:tc>
      </w:tr>
    </w:tbl>
    <w:p/>
    <w:p>
      <w:pPr>
        <w:pStyle w:val="Heading1"/>
      </w:pPr>
      <w:r>
        <w:t>18. Secure Disposal</w:t>
      </w:r>
    </w:p>
    <w:p>
      <w:pPr>
        <w:spacing w:after="40"/>
      </w:pPr>
      <w:r>
        <w:t xml:space="preserve">• </w:t>
      </w:r>
      <w:r>
        <w:t>Paper containing personal information must be cross-cut shredded or securely destroyed by an appropriate confidential-waste provider.</w:t>
      </w:r>
    </w:p>
    <w:p>
      <w:pPr>
        <w:spacing w:after="40"/>
      </w:pPr>
      <w:r>
        <w:t xml:space="preserve">• </w:t>
      </w:r>
      <w:r>
        <w:t>Electronic information must be securely deleted when due for destruction, including relevant copies where reasonably possible.</w:t>
      </w:r>
    </w:p>
    <w:p>
      <w:pPr>
        <w:spacing w:after="40"/>
      </w:pPr>
      <w:r>
        <w:t xml:space="preserve">• </w:t>
      </w:r>
      <w:r>
        <w:t>Storage media containing confidential data must be securely wiped or physically destroyed where appropriate.</w:t>
      </w:r>
    </w:p>
    <w:p>
      <w:pPr>
        <w:spacing w:after="40"/>
      </w:pPr>
      <w:r>
        <w:t xml:space="preserve">• </w:t>
      </w:r>
      <w:r>
        <w:t>Destruction of significant record groups should be documented where required by the retention procedure.</w:t>
      </w:r>
    </w:p>
    <w:p>
      <w:pPr>
        <w:spacing w:after="40"/>
      </w:pPr>
      <w:r>
        <w:t xml:space="preserve">• </w:t>
      </w:r>
      <w:r>
        <w:t>Records subject to a safeguarding concern, legal hold, complaint, investigation or access request must not be destroyed until authorised.</w:t>
      </w:r>
    </w:p>
    <w:p>
      <w:pPr>
        <w:pStyle w:val="Heading1"/>
      </w:pPr>
      <w:r>
        <w:t>19. Personal Data Breaches</w:t>
      </w:r>
    </w:p>
    <w:p>
      <w:r>
        <w:t>A personal data breach includes accidental or unlawful loss, destruction, alteration, unauthorised disclosure of, or access to personal data. It can be digital or paper-based.</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IMMEDIATE STAFF ACTION</w:t>
            </w:r>
          </w:p>
        </w:tc>
        <w:tc>
          <w:tcPr>
            <w:tcW w:type="dxa" w:w="5184"/>
            <w:shd w:fill="171717"/>
          </w:tcPr>
          <w:p>
            <w:r>
              <w:rPr>
                <w:b/>
                <w:color w:val="FFFFFF"/>
                <w:sz w:val="14"/>
              </w:rPr>
              <w:t>DETAIL</w:t>
            </w:r>
          </w:p>
        </w:tc>
      </w:tr>
      <w:tr>
        <w:tc>
          <w:tcPr>
            <w:tcW w:type="dxa" w:w="5184"/>
          </w:tcPr>
          <w:p>
            <w:r>
              <w:rPr>
                <w:sz w:val="14"/>
              </w:rPr>
              <w:t>Contain</w:t>
            </w:r>
          </w:p>
        </w:tc>
        <w:tc>
          <w:tcPr>
            <w:tcW w:type="dxa" w:w="5184"/>
          </w:tcPr>
          <w:p>
            <w:r>
              <w:rPr>
                <w:sz w:val="14"/>
              </w:rPr>
              <w:t>If safe, stop further disclosure or access, e.g. recall email, secure papers, disable compromised access.</w:t>
            </w:r>
          </w:p>
        </w:tc>
      </w:tr>
      <w:tr>
        <w:tc>
          <w:tcPr>
            <w:tcW w:type="dxa" w:w="5184"/>
            <w:shd w:fill="F7F7F7"/>
          </w:tcPr>
          <w:p>
            <w:r>
              <w:rPr>
                <w:sz w:val="14"/>
              </w:rPr>
              <w:t>Report</w:t>
            </w:r>
          </w:p>
        </w:tc>
        <w:tc>
          <w:tcPr>
            <w:tcW w:type="dxa" w:w="5184"/>
            <w:shd w:fill="F7F7F7"/>
          </w:tcPr>
          <w:p>
            <w:r>
              <w:rPr>
                <w:sz w:val="14"/>
              </w:rPr>
              <w:t>Tell Emma Hobbis/data protection lead immediately; do not wait until the end of the day.</w:t>
            </w:r>
          </w:p>
        </w:tc>
      </w:tr>
      <w:tr>
        <w:tc>
          <w:tcPr>
            <w:tcW w:type="dxa" w:w="5184"/>
          </w:tcPr>
          <w:p>
            <w:r>
              <w:rPr>
                <w:sz w:val="14"/>
              </w:rPr>
              <w:t>Preserve facts</w:t>
            </w:r>
          </w:p>
        </w:tc>
        <w:tc>
          <w:tcPr>
            <w:tcW w:type="dxa" w:w="5184"/>
          </w:tcPr>
          <w:p>
            <w:r>
              <w:rPr>
                <w:sz w:val="14"/>
              </w:rPr>
              <w:t>Record what happened, what information was involved, who may be affected and actions taken.</w:t>
            </w:r>
          </w:p>
        </w:tc>
      </w:tr>
      <w:tr>
        <w:tc>
          <w:tcPr>
            <w:tcW w:type="dxa" w:w="5184"/>
            <w:shd w:fill="F7F7F7"/>
          </w:tcPr>
          <w:p>
            <w:r>
              <w:rPr>
                <w:sz w:val="14"/>
              </w:rPr>
              <w:t>Do not conceal</w:t>
            </w:r>
          </w:p>
        </w:tc>
        <w:tc>
          <w:tcPr>
            <w:tcW w:type="dxa" w:w="5184"/>
            <w:shd w:fill="F7F7F7"/>
          </w:tcPr>
          <w:p>
            <w:r>
              <w:rPr>
                <w:sz w:val="14"/>
              </w:rPr>
              <w:t>Never delete evidence or attempt to manage a significant breach privately.</w:t>
            </w:r>
          </w:p>
        </w:tc>
      </w:tr>
      <w:tr>
        <w:tc>
          <w:tcPr>
            <w:tcW w:type="dxa" w:w="5184"/>
          </w:tcPr>
          <w:p>
            <w:r>
              <w:rPr>
                <w:sz w:val="14"/>
              </w:rPr>
              <w:t>Assessment</w:t>
            </w:r>
          </w:p>
        </w:tc>
        <w:tc>
          <w:tcPr>
            <w:tcW w:type="dxa" w:w="5184"/>
          </w:tcPr>
          <w:p>
            <w:r>
              <w:rPr>
                <w:sz w:val="14"/>
              </w:rPr>
              <w:t>Management assesses risk to individuals and whether notification to the ICO and/or affected people is legally required.</w:t>
            </w:r>
          </w:p>
        </w:tc>
      </w:tr>
      <w:tr>
        <w:tc>
          <w:tcPr>
            <w:tcW w:type="dxa" w:w="5184"/>
            <w:shd w:fill="F7F7F7"/>
          </w:tcPr>
          <w:p>
            <w:r>
              <w:rPr>
                <w:sz w:val="14"/>
              </w:rPr>
              <w:t>Learn</w:t>
            </w:r>
          </w:p>
        </w:tc>
        <w:tc>
          <w:tcPr>
            <w:tcW w:type="dxa" w:w="5184"/>
            <w:shd w:fill="F7F7F7"/>
          </w:tcPr>
          <w:p>
            <w:r>
              <w:rPr>
                <w:sz w:val="14"/>
              </w:rPr>
              <w:t>Record outcome and improve controls/training where needed.</w:t>
            </w:r>
          </w:p>
        </w:tc>
      </w:tr>
    </w:tbl>
    <w:p/>
    <w:tbl>
      <w:tblPr>
        <w:tblW w:type="auto" w:w="0"/>
        <w:tblLook w:firstColumn="1" w:firstRow="1" w:lastColumn="0" w:lastRow="0" w:noHBand="0" w:noVBand="1" w:val="04A0"/>
      </w:tblPr>
      <w:tblGrid>
        <w:gridCol w:w="10368"/>
      </w:tblGrid>
      <w:tr>
        <w:tc>
          <w:tcPr>
            <w:tcW w:type="dxa" w:w="10368"/>
            <w:shd w:fill="F4DDDD"/>
          </w:tcPr>
          <w:p>
            <w:pPr>
              <w:jc w:val="center"/>
            </w:pPr>
            <w:r>
              <w:rPr>
                <w:b/>
                <w:sz w:val="18"/>
              </w:rPr>
              <w:t>Possible breach examples: email sent to the wrong parent; lost register; medical form visible to visitors; staff account compromised; pupil information posted publicly; confidential paperwork put in ordinary waste.</w:t>
            </w:r>
          </w:p>
        </w:tc>
      </w:tr>
    </w:tbl>
    <w:p/>
    <w:p>
      <w:pPr>
        <w:pStyle w:val="Heading1"/>
      </w:pPr>
      <w:r>
        <w:t>20. ICO and Breach Notification</w:t>
      </w:r>
    </w:p>
    <w:p>
      <w:r>
        <w:t>Where a breach is likely to result in a risk to people's rights and freedoms, Stageworks will consider whether it must notify the Information Commissioner's Office within the legally required period. Where the risk is high, affected individuals may also need to be informed. The data protection lead will document the assessment, including decisions not to notify.</w:t>
      </w:r>
    </w:p>
    <w:p>
      <w:pPr>
        <w:pStyle w:val="Heading1"/>
      </w:pPr>
      <w:r>
        <w:t>21. Staff Records and Safer Recruitment</w:t>
      </w:r>
    </w:p>
    <w:p>
      <w:r>
        <w:t>Recruitment, suitability, DBS-related, reference and Single Central Record information is confidential and access-controlled. Only information necessary for safer recruitment, legal compliance and legitimate workforce management should be collected and retained. Criminal-offence information requires particular care and an appropriate legal basis/condition.</w:t>
      </w:r>
    </w:p>
    <w:p>
      <w:pPr>
        <w:pStyle w:val="Heading1"/>
      </w:pPr>
      <w:r>
        <w:t>22. Medical and Emergency Information</w:t>
      </w:r>
    </w:p>
    <w:p>
      <w:r>
        <w:t>Medical and emergency information may need to be readily available to relevant staff to protect a child. Accessibility for an emergency must be balanced with confidentiality. Staff should know how to access essential information quickly without making it openly available to pupils, visitors or unauthorised people.</w:t>
      </w:r>
    </w:p>
    <w:p>
      <w:pPr>
        <w:pStyle w:val="Heading1"/>
      </w:pPr>
      <w:r>
        <w:t>23. Data Protection Impact Assessments (DPIAs)</w:t>
      </w:r>
    </w:p>
    <w:p>
      <w:r>
        <w:t>Before introducing processing likely to create a high risk to individuals' rights and freedoms, Stageworks will consider whether a DPIA is required. This is particularly relevant to significant new technology, monitoring, biometrics, large-scale sensitive processing or novel uses of children's information.</w:t>
      </w:r>
    </w:p>
    <w:p>
      <w:pPr>
        <w:pStyle w:val="Heading1"/>
      </w:pPr>
      <w:r>
        <w:t>24. Artificial Intelligence</w:t>
      </w:r>
    </w:p>
    <w:p>
      <w:pPr>
        <w:spacing w:after="40"/>
      </w:pPr>
      <w:r>
        <w:t xml:space="preserve">• </w:t>
      </w:r>
      <w:r>
        <w:t>Do not enter identifiable pupil, safeguarding, medical, SEND, staff or other confidential information into a public/generative AI service unless Stageworks has specifically assessed and authorised that use.</w:t>
      </w:r>
    </w:p>
    <w:p>
      <w:pPr>
        <w:spacing w:after="40"/>
      </w:pPr>
      <w:r>
        <w:t xml:space="preserve">• </w:t>
      </w:r>
      <w:r>
        <w:t>Remove or anonymise personal information where AI assistance is legitimately used.</w:t>
      </w:r>
    </w:p>
    <w:p>
      <w:pPr>
        <w:spacing w:after="40"/>
      </w:pPr>
      <w:r>
        <w:t xml:space="preserve">• </w:t>
      </w:r>
      <w:r>
        <w:t>Check provider terms, security and data-use arrangements before adopting AI tools for organisational processing.</w:t>
      </w:r>
    </w:p>
    <w:p>
      <w:pPr>
        <w:spacing w:after="40"/>
      </w:pPr>
      <w:r>
        <w:t xml:space="preserve">• </w:t>
      </w:r>
      <w:r>
        <w:t>Human responsibility remains with Stageworks; AI output must not be treated as an authoritative pupil record without appropriate review.</w:t>
      </w:r>
    </w:p>
    <w:p>
      <w:pPr>
        <w:spacing w:after="40"/>
      </w:pPr>
      <w:r>
        <w:t xml:space="preserve">• </w:t>
      </w:r>
      <w:r>
        <w:t>High-risk or significant automated decision-making requires specific data-protection consideration.</w:t>
      </w:r>
    </w:p>
    <w:p>
      <w:pPr>
        <w:pStyle w:val="Heading1"/>
      </w:pPr>
      <w:r>
        <w:t>25. Training and Accountability</w:t>
      </w:r>
    </w:p>
    <w:p>
      <w:pPr>
        <w:spacing w:after="40"/>
      </w:pPr>
      <w:r>
        <w:t xml:space="preserve">• </w:t>
      </w:r>
      <w:r>
        <w:t>All staff handling personal information receive appropriate data-protection and confidentiality instruction.</w:t>
      </w:r>
    </w:p>
    <w:p>
      <w:pPr>
        <w:spacing w:after="40"/>
      </w:pPr>
      <w:r>
        <w:t xml:space="preserve">• </w:t>
      </w:r>
      <w:r>
        <w:t>Data protection expectations form part of induction and are refreshed periodically.</w:t>
      </w:r>
    </w:p>
    <w:p>
      <w:pPr>
        <w:spacing w:after="40"/>
      </w:pPr>
      <w:r>
        <w:t xml:space="preserve">• </w:t>
      </w:r>
      <w:r>
        <w:t>Staff must report mistakes and near misses promptly; early reporting helps reduce harm.</w:t>
      </w:r>
    </w:p>
    <w:p>
      <w:pPr>
        <w:spacing w:after="40"/>
      </w:pPr>
      <w:r>
        <w:t xml:space="preserve">• </w:t>
      </w:r>
      <w:r>
        <w:t>Serious or deliberate misuse of confidential information may be addressed under staff conduct, safeguarding or disciplinary procedures.</w:t>
      </w:r>
    </w:p>
    <w:p>
      <w:pPr>
        <w:pStyle w:val="Heading1"/>
      </w:pPr>
      <w:r>
        <w:t>26. Annual Compliance Checklist</w:t>
      </w:r>
    </w:p>
    <w:p>
      <w:r>
        <w:t>☐ Review what personal data Stageworks holds and whether it is still needed.</w:t>
      </w:r>
    </w:p>
    <w:p>
      <w:r>
        <w:t>☐ Review the Records Retention Schedule and securely dispose of records due for destruction.</w:t>
      </w:r>
    </w:p>
    <w:p>
      <w:r>
        <w:t>☐ Review privacy information/registration wording and consent choices.</w:t>
      </w:r>
    </w:p>
    <w:p>
      <w:r>
        <w:t>☐ Review access to electronic systems, shared folders and social-media accounts.</w:t>
      </w:r>
    </w:p>
    <w:p>
      <w:r>
        <w:t>☐ Remove access for people who have left or changed role.</w:t>
      </w:r>
    </w:p>
    <w:p>
      <w:r>
        <w:t>☐ Review third-party processors/services handling personal data.</w:t>
      </w:r>
    </w:p>
    <w:p>
      <w:r>
        <w:t>☐ Review data-breach records and learning.</w:t>
      </w:r>
    </w:p>
    <w:p>
      <w:r>
        <w:t>☐ Confirm staff have received/refreshed data-protection and confidentiality training.</w:t>
      </w:r>
    </w:p>
    <w:p>
      <w:r>
        <w:t>☐ Review special-category processing and any required Appropriate Policy Document.</w:t>
      </w:r>
    </w:p>
    <w:p>
      <w:r>
        <w:t>☐ Consider whether new systems or technology require a DPIA.</w:t>
      </w:r>
    </w:p>
    <w:p>
      <w:pPr>
        <w:pStyle w:val="Heading1"/>
      </w:pPr>
      <w:r>
        <w:t>27. Staff Acknowledgement</w:t>
      </w:r>
    </w:p>
    <w:p>
      <w:r>
        <w:t>I confirm that I have read and understood this policy. I understand my responsibility to keep pupil, family, staff and organisational information secure and confidential, to use personal data only for authorised purposes, and to report any actual or suspected data breach immediately.</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171717"/>
          </w:tcPr>
          <w:p>
            <w:r>
              <w:rPr>
                <w:b/>
                <w:color w:val="FFFFFF"/>
                <w:sz w:val="14"/>
              </w:rPr>
              <w:t>STAFF NAME</w:t>
            </w:r>
          </w:p>
        </w:tc>
        <w:tc>
          <w:tcPr>
            <w:tcW w:type="dxa" w:w="2592"/>
            <w:shd w:fill="171717"/>
          </w:tcPr>
          <w:p>
            <w:r>
              <w:rPr>
                <w:b/>
                <w:color w:val="FFFFFF"/>
                <w:sz w:val="14"/>
              </w:rPr>
              <w:t>ROLE</w:t>
            </w:r>
          </w:p>
        </w:tc>
        <w:tc>
          <w:tcPr>
            <w:tcW w:type="dxa" w:w="2592"/>
            <w:shd w:fill="171717"/>
          </w:tcPr>
          <w:p>
            <w:r>
              <w:rPr>
                <w:b/>
                <w:color w:val="FFFFFF"/>
                <w:sz w:val="14"/>
              </w:rPr>
              <w:t>DATE</w:t>
            </w:r>
          </w:p>
        </w:tc>
        <w:tc>
          <w:tcPr>
            <w:tcW w:type="dxa" w:w="2592"/>
            <w:shd w:fill="171717"/>
          </w:tcPr>
          <w:p>
            <w:r>
              <w:rPr>
                <w:b/>
                <w:color w:val="FFFFFF"/>
                <w:sz w:val="14"/>
              </w:rPr>
              <w:t>SIGNATURE</w:t>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r>
        <w:tc>
          <w:tcPr>
            <w:tcW w:type="dxa" w:w="2592"/>
          </w:tcPr>
          <w:p>
            <w:r>
              <w:rPr>
                <w:sz w:val="14"/>
              </w:rPr>
            </w:r>
          </w:p>
        </w:tc>
        <w:tc>
          <w:tcPr>
            <w:tcW w:type="dxa" w:w="2592"/>
          </w:tcPr>
          <w:p>
            <w:r>
              <w:rPr>
                <w:sz w:val="14"/>
              </w:rPr>
            </w:r>
          </w:p>
        </w:tc>
        <w:tc>
          <w:tcPr>
            <w:tcW w:type="dxa" w:w="2592"/>
          </w:tcPr>
          <w:p>
            <w:r>
              <w:rPr>
                <w:sz w:val="14"/>
              </w:rPr>
            </w:r>
          </w:p>
        </w:tc>
        <w:tc>
          <w:tcPr>
            <w:tcW w:type="dxa" w:w="2592"/>
          </w:tcPr>
          <w:p>
            <w:r>
              <w:rPr>
                <w:sz w:val="14"/>
              </w:rPr>
            </w:r>
          </w:p>
        </w:tc>
      </w:tr>
      <w:tr>
        <w:tc>
          <w:tcPr>
            <w:tcW w:type="dxa" w:w="2592"/>
            <w:shd w:fill="F7F7F7"/>
          </w:tcPr>
          <w:p>
            <w:r>
              <w:rPr>
                <w:sz w:val="14"/>
              </w:rPr>
            </w:r>
          </w:p>
        </w:tc>
        <w:tc>
          <w:tcPr>
            <w:tcW w:type="dxa" w:w="2592"/>
            <w:shd w:fill="F7F7F7"/>
          </w:tcPr>
          <w:p>
            <w:r>
              <w:rPr>
                <w:sz w:val="14"/>
              </w:rPr>
            </w:r>
          </w:p>
        </w:tc>
        <w:tc>
          <w:tcPr>
            <w:tcW w:type="dxa" w:w="2592"/>
            <w:shd w:fill="F7F7F7"/>
          </w:tcPr>
          <w:p>
            <w:r>
              <w:rPr>
                <w:sz w:val="14"/>
              </w:rPr>
            </w:r>
          </w:p>
        </w:tc>
        <w:tc>
          <w:tcPr>
            <w:tcW w:type="dxa" w:w="2592"/>
            <w:shd w:fill="F7F7F7"/>
          </w:tcPr>
          <w:p>
            <w:r>
              <w:rPr>
                <w:sz w:val="14"/>
              </w:rPr>
            </w:r>
          </w:p>
        </w:tc>
      </w:tr>
    </w:tbl>
    <w:p/>
    <w:p>
      <w:pPr>
        <w:pStyle w:val="Heading1"/>
      </w:pPr>
      <w:r>
        <w:t>28. Policy Approval</w:t>
      </w:r>
    </w:p>
    <w:tbl>
      <w:tblPr>
        <w:tblStyle w:val="TableGrid"/>
        <w:tblW w:type="auto" w:w="0"/>
        <w:jc w:val="center"/>
        <w:tblLook w:firstColumn="1" w:firstRow="1" w:lastColumn="0" w:lastRow="0" w:noHBand="0" w:noVBand="1" w:val="04A0"/>
      </w:tblPr>
      <w:tblGrid>
        <w:gridCol w:w="5184"/>
        <w:gridCol w:w="5184"/>
      </w:tblGrid>
      <w:tr>
        <w:tc>
          <w:tcPr>
            <w:tcW w:type="dxa" w:w="5184"/>
            <w:shd w:fill="171717"/>
          </w:tcPr>
          <w:p>
            <w:r>
              <w:rPr>
                <w:b/>
                <w:color w:val="FFFFFF"/>
                <w:sz w:val="14"/>
              </w:rPr>
              <w:t>CONTROL</w:t>
            </w:r>
          </w:p>
        </w:tc>
        <w:tc>
          <w:tcPr>
            <w:tcW w:type="dxa" w:w="5184"/>
            <w:shd w:fill="171717"/>
          </w:tcPr>
          <w:p>
            <w:r>
              <w:rPr>
                <w:b/>
                <w:color w:val="FFFFFF"/>
                <w:sz w:val="14"/>
              </w:rPr>
              <w:t>DETAIL</w:t>
            </w:r>
          </w:p>
        </w:tc>
      </w:tr>
      <w:tr>
        <w:tc>
          <w:tcPr>
            <w:tcW w:type="dxa" w:w="5184"/>
          </w:tcPr>
          <w:p>
            <w:r>
              <w:rPr>
                <w:sz w:val="14"/>
              </w:rPr>
              <w:t>Policy owner</w:t>
            </w:r>
          </w:p>
        </w:tc>
        <w:tc>
          <w:tcPr>
            <w:tcW w:type="dxa" w:w="5184"/>
          </w:tcPr>
          <w:p>
            <w:r>
              <w:rPr>
                <w:sz w:val="14"/>
              </w:rPr>
              <w:t>Emma Hobbis</w:t>
            </w:r>
          </w:p>
        </w:tc>
      </w:tr>
      <w:tr>
        <w:tc>
          <w:tcPr>
            <w:tcW w:type="dxa" w:w="5184"/>
            <w:shd w:fill="F7F7F7"/>
          </w:tcPr>
          <w:p>
            <w:r>
              <w:rPr>
                <w:sz w:val="14"/>
              </w:rPr>
              <w:t>Approved by</w:t>
            </w:r>
          </w:p>
        </w:tc>
        <w:tc>
          <w:tcPr>
            <w:tcW w:type="dxa" w:w="5184"/>
            <w:shd w:fill="F7F7F7"/>
          </w:tcPr>
          <w:p>
            <w:r>
              <w:rPr>
                <w:sz w:val="14"/>
              </w:rPr>
            </w:r>
          </w:p>
        </w:tc>
      </w:tr>
      <w:tr>
        <w:tc>
          <w:tcPr>
            <w:tcW w:type="dxa" w:w="5184"/>
          </w:tcPr>
          <w:p>
            <w:r>
              <w:rPr>
                <w:sz w:val="14"/>
              </w:rPr>
              <w:t>Approval date</w:t>
            </w:r>
          </w:p>
        </w:tc>
        <w:tc>
          <w:tcPr>
            <w:tcW w:type="dxa" w:w="5184"/>
          </w:tcPr>
          <w:p>
            <w:r>
              <w:rPr>
                <w:sz w:val="14"/>
              </w:rPr>
            </w:r>
          </w:p>
        </w:tc>
      </w:tr>
      <w:tr>
        <w:tc>
          <w:tcPr>
            <w:tcW w:type="dxa" w:w="5184"/>
            <w:shd w:fill="F7F7F7"/>
          </w:tcPr>
          <w:p>
            <w:r>
              <w:rPr>
                <w:sz w:val="14"/>
              </w:rPr>
              <w:t>Effective date</w:t>
            </w:r>
          </w:p>
        </w:tc>
        <w:tc>
          <w:tcPr>
            <w:tcW w:type="dxa" w:w="5184"/>
            <w:shd w:fill="F7F7F7"/>
          </w:tcPr>
          <w:p>
            <w:r>
              <w:rPr>
                <w:sz w:val="14"/>
              </w:rPr>
              <w:t>1 September 2026</w:t>
            </w:r>
          </w:p>
        </w:tc>
      </w:tr>
      <w:tr>
        <w:tc>
          <w:tcPr>
            <w:tcW w:type="dxa" w:w="5184"/>
          </w:tcPr>
          <w:p>
            <w:r>
              <w:rPr>
                <w:sz w:val="14"/>
              </w:rPr>
              <w:t>Version</w:t>
            </w:r>
          </w:p>
        </w:tc>
        <w:tc>
          <w:tcPr>
            <w:tcW w:type="dxa" w:w="5184"/>
          </w:tcPr>
          <w:p>
            <w:r>
              <w:rPr>
                <w:sz w:val="14"/>
              </w:rPr>
              <w:t>2026-27</w:t>
            </w:r>
          </w:p>
        </w:tc>
      </w:tr>
      <w:tr>
        <w:tc>
          <w:tcPr>
            <w:tcW w:type="dxa" w:w="5184"/>
            <w:shd w:fill="F7F7F7"/>
          </w:tcPr>
          <w:p>
            <w:r>
              <w:rPr>
                <w:sz w:val="14"/>
              </w:rPr>
              <w:t>Staff briefing date</w:t>
            </w:r>
          </w:p>
        </w:tc>
        <w:tc>
          <w:tcPr>
            <w:tcW w:type="dxa" w:w="5184"/>
            <w:shd w:fill="F7F7F7"/>
          </w:tcPr>
          <w:p>
            <w:r>
              <w:rPr>
                <w:sz w:val="14"/>
              </w:rPr>
              <w:t>23 August 2026</w:t>
            </w:r>
          </w:p>
        </w:tc>
      </w:tr>
      <w:tr>
        <w:tc>
          <w:tcPr>
            <w:tcW w:type="dxa" w:w="5184"/>
          </w:tcPr>
          <w:p>
            <w:r>
              <w:rPr>
                <w:sz w:val="14"/>
              </w:rPr>
              <w:t>Next planned review</w:t>
            </w:r>
          </w:p>
        </w:tc>
        <w:tc>
          <w:tcPr>
            <w:tcW w:type="dxa" w:w="5184"/>
          </w:tcPr>
          <w:p>
            <w:r>
              <w:rPr>
                <w:sz w:val="14"/>
              </w:rPr>
              <w:t>August 2027 or sooner if required</w:t>
            </w:r>
          </w:p>
        </w:tc>
      </w:tr>
    </w:tbl>
    <w:p/>
    <w:p>
      <w:pPr>
        <w:pStyle w:val="Heading1"/>
      </w:pPr>
      <w:r>
        <w:t>Reference Basis</w:t>
      </w:r>
    </w:p>
    <w:p>
      <w:r>
        <w:t>This policy has been drafted with reference to current Information Commissioner's Office guidance on children and the UK GDPR, special category data, safeguarding information sharing and individual rights, together with Department for Education guidance on data protection in schools, record keeping and management. Stageworks Education should keep the policy and its supporting records under review as law and guidance change.</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Inspection Portfolio 2026-27 | Controlled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B28A45"/>
        <w:sz w:val="15"/>
      </w:rPr>
      <w:t>STAGEWORKS EDUCATION | DATA PROTECTION &amp; RECORDS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1717"/>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B28A4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